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_rels/header1.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right"/>
        <w:rPr>
          <w:rFonts w:ascii="Arial" w:hAnsi="Arial"/>
          <w:sz w:val="24"/>
          <w:szCs w:val="24"/>
        </w:rPr>
      </w:pPr>
      <w:r>
        <w:rPr>
          <w:rFonts w:ascii="Arial" w:hAnsi="Arial"/>
          <w:b/>
          <w:bCs/>
          <w:sz w:val="24"/>
          <w:szCs w:val="24"/>
        </w:rPr>
        <w:t>ALLEGATO 3</w:t>
      </w:r>
    </w:p>
    <w:p>
      <w:pPr>
        <w:pStyle w:val="Normal"/>
        <w:spacing w:before="0" w:after="0"/>
        <w:jc w:val="center"/>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center"/>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center"/>
        <w:rPr>
          <w:rFonts w:ascii="Arial" w:hAnsi="Arial"/>
          <w:sz w:val="24"/>
          <w:szCs w:val="24"/>
        </w:rPr>
      </w:pPr>
      <w:r>
        <w:rPr>
          <w:rFonts w:eastAsia="Times New Roman" w:cs="Times New Roman" w:ascii="Arial" w:hAnsi="Arial"/>
          <w:b/>
          <w:bCs/>
          <w:color w:val="000000"/>
          <w:sz w:val="24"/>
          <w:szCs w:val="24"/>
          <w:lang w:eastAsia="it-IT"/>
        </w:rPr>
        <w:t>PATTO DI INTEGRITÀ RELATIVO ALLE PROCEDURE DI AFFIDAMENTO FINALIZZATE ALLA STIPULA DEI CONTRATTI PUBBLICI</w:t>
      </w:r>
      <w:r>
        <w:rPr>
          <w:rFonts w:eastAsia="Times New Roman" w:cs="Times New Roman" w:ascii="Arial" w:hAnsi="Arial"/>
          <w:color w:val="000000"/>
          <w:sz w:val="24"/>
          <w:szCs w:val="24"/>
          <w:lang w:eastAsia="it-IT"/>
        </w:rPr>
        <w:br/>
        <w:t>(articolo1, comma 17, della Legge 6 novembre 2012, n.190)</w:t>
      </w:r>
    </w:p>
    <w:p>
      <w:pPr>
        <w:pStyle w:val="Normal"/>
        <w:spacing w:beforeAutospacing="1" w:afterAutospacing="1"/>
        <w:jc w:val="both"/>
        <w:rPr>
          <w:rFonts w:ascii="Arial" w:hAnsi="Arial"/>
          <w:sz w:val="24"/>
          <w:szCs w:val="24"/>
        </w:rPr>
      </w:pPr>
      <w:r>
        <w:rPr>
          <w:rFonts w:eastAsia="Times New Roman" w:cs="Times New Roman" w:ascii="Arial" w:hAnsi="Arial"/>
          <w:color w:val="000000"/>
          <w:sz w:val="24"/>
          <w:szCs w:val="24"/>
          <w:lang w:eastAsia="it-IT"/>
        </w:rPr>
        <w:t>Per la procedura di affidamento:</w:t>
      </w:r>
      <w:r>
        <w:rPr>
          <w:rFonts w:eastAsia="Times New Roman" w:cs="Times New Roman" w:ascii="Arial" w:hAnsi="Arial"/>
          <w:color w:val="000000"/>
          <w:sz w:val="24"/>
          <w:szCs w:val="24"/>
          <w:shd w:fill="auto" w:val="clear"/>
          <w:lang w:eastAsia="it-IT"/>
        </w:rPr>
        <w:t xml:space="preserve"> </w:t>
      </w:r>
      <w:r>
        <w:rPr>
          <w:rFonts w:eastAsia="Times New Roman" w:cs="Times New Roman" w:ascii="Arial" w:hAnsi="Arial"/>
          <w:b/>
          <w:bCs/>
          <w:color w:val="000000"/>
          <w:sz w:val="24"/>
          <w:szCs w:val="24"/>
          <w:shd w:fill="auto" w:val="clear"/>
          <w:lang w:eastAsia="it-IT"/>
        </w:rPr>
        <w:t xml:space="preserve">SERVIZIO DI MANUTENZIONE ORDINARIA AREE VERDI, LUDICHE E </w:t>
      </w:r>
      <w:r>
        <w:rPr>
          <w:rFonts w:eastAsia="Times New Roman" w:cs="Times New Roman" w:ascii="Arial" w:hAnsi="Arial"/>
          <w:b/>
          <w:bCs/>
          <w:color w:val="000000"/>
          <w:kern w:val="0"/>
          <w:sz w:val="24"/>
          <w:szCs w:val="24"/>
          <w:shd w:fill="auto" w:val="clear"/>
          <w:lang w:val="it-IT" w:eastAsia="it-IT" w:bidi="ar-SA"/>
        </w:rPr>
        <w:t xml:space="preserve">ARREDO </w:t>
      </w:r>
      <w:r>
        <w:rPr>
          <w:rFonts w:eastAsia="Times New Roman" w:cs="Times New Roman" w:ascii="Arial" w:hAnsi="Arial"/>
          <w:b/>
          <w:bCs/>
          <w:color w:val="000000"/>
          <w:sz w:val="24"/>
          <w:szCs w:val="24"/>
          <w:shd w:fill="auto" w:val="clear"/>
          <w:lang w:eastAsia="it-IT"/>
        </w:rPr>
        <w:t>URBANO SUL TERRITORIO DELLA CIRCOSCRIZIONE 5 – ANNI 2026-2027</w:t>
      </w:r>
    </w:p>
    <w:p>
      <w:pPr>
        <w:pStyle w:val="Normal"/>
        <w:spacing w:before="0" w:after="0"/>
        <w:jc w:val="both"/>
        <w:rPr>
          <w:rFonts w:ascii="Arial" w:hAnsi="Arial"/>
          <w:sz w:val="24"/>
          <w:szCs w:val="24"/>
        </w:rPr>
      </w:pPr>
      <w:r>
        <w:rPr>
          <w:rFonts w:eastAsia="Times New Roman" w:cs="Times New Roman" w:ascii="Arial" w:hAnsi="Arial"/>
          <w:color w:val="000000"/>
          <w:sz w:val="24"/>
          <w:szCs w:val="24"/>
          <w:shd w:fill="auto" w:val="clear"/>
          <w:lang w:eastAsia="it-IT"/>
        </w:rPr>
        <w:t>Il presente Patto interessa tutte le imprese che con</w:t>
      </w:r>
      <w:r>
        <w:rPr>
          <w:rFonts w:eastAsia="Times New Roman" w:cs="Times New Roman" w:ascii="Arial" w:hAnsi="Arial"/>
          <w:color w:val="000000"/>
          <w:sz w:val="24"/>
          <w:szCs w:val="24"/>
          <w:lang w:eastAsia="it-IT"/>
        </w:rPr>
        <w:t>corrono alle procedure di affidamento e di concessione ed eseguono contratti in qualità di soggetto aggiudicatario o subappaltatore o che richiedano l'iscrizione all'Albo Fornitori ed è richiamato nei bandi di gara e negli inviti.</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Il presente Patto, già sottoscritto dal Responsabile Unico di Progetto, deve essere obbligatoriamente sottoscritto e presentato insieme all'offerta da ciascun partecipante a qualsiasi titolo all'affidamento in oggetto. La mancata consegna del documento debitamente sottoscritto sarà oggetto di regolarizzazione con le modalità indicate all'articolo 101 D.Lgs. 36/2023.</w:t>
      </w:r>
    </w:p>
    <w:p>
      <w:pPr>
        <w:pStyle w:val="Normal"/>
        <w:spacing w:before="0" w:after="0"/>
        <w:jc w:val="both"/>
        <w:rPr>
          <w:rFonts w:ascii="Arial" w:hAnsi="Arial" w:eastAsia="Times New Roman" w:cs="Times New Roman"/>
          <w:b/>
          <w:bCs/>
          <w:color w:val="000000"/>
          <w:sz w:val="24"/>
          <w:szCs w:val="24"/>
          <w:lang w:eastAsia="it-IT"/>
        </w:rPr>
      </w:pPr>
      <w:r>
        <w:rPr>
          <w:rFonts w:eastAsia="Times New Roman" w:cs="Times New Roman" w:ascii="Arial" w:hAnsi="Arial"/>
          <w:b/>
          <w:bCs/>
          <w:color w:val="000000"/>
          <w:sz w:val="24"/>
          <w:szCs w:val="24"/>
          <w:lang w:eastAsia="it-IT"/>
        </w:rPr>
      </w:r>
    </w:p>
    <w:p>
      <w:pPr>
        <w:pStyle w:val="Normal"/>
        <w:spacing w:before="0" w:after="0"/>
        <w:jc w:val="both"/>
        <w:rPr>
          <w:rFonts w:ascii="Arial" w:hAnsi="Arial" w:eastAsia="Times New Roman" w:cs="Times New Roman"/>
          <w:b/>
          <w:bCs/>
          <w:color w:val="000000"/>
          <w:sz w:val="24"/>
          <w:szCs w:val="24"/>
          <w:lang w:eastAsia="it-IT"/>
        </w:rPr>
      </w:pPr>
      <w:r>
        <w:rPr>
          <w:rFonts w:eastAsia="Times New Roman" w:cs="Times New Roman" w:ascii="Arial" w:hAnsi="Arial"/>
          <w:b/>
          <w:bCs/>
          <w:color w:val="000000"/>
          <w:sz w:val="24"/>
          <w:szCs w:val="24"/>
          <w:lang w:eastAsia="it-IT"/>
        </w:rPr>
      </w:r>
    </w:p>
    <w:p>
      <w:pPr>
        <w:pStyle w:val="Normal"/>
        <w:spacing w:before="0" w:after="0"/>
        <w:jc w:val="center"/>
        <w:rPr>
          <w:rFonts w:ascii="Arial" w:hAnsi="Arial"/>
          <w:sz w:val="24"/>
          <w:szCs w:val="24"/>
        </w:rPr>
      </w:pPr>
      <w:r>
        <w:rPr>
          <w:rFonts w:eastAsia="Times New Roman" w:cs="Times New Roman" w:ascii="Arial" w:hAnsi="Arial"/>
          <w:b/>
          <w:bCs/>
          <w:color w:val="000000"/>
          <w:sz w:val="24"/>
          <w:szCs w:val="24"/>
          <w:lang w:eastAsia="it-IT"/>
        </w:rPr>
        <w:t>Il Comune di Torino</w:t>
      </w:r>
    </w:p>
    <w:p>
      <w:pPr>
        <w:pStyle w:val="Normal"/>
        <w:spacing w:before="0" w:after="0"/>
        <w:jc w:val="center"/>
        <w:rPr>
          <w:rFonts w:ascii="Arial" w:hAnsi="Arial" w:eastAsia="Times New Roman" w:cs="Times New Roman"/>
          <w:b/>
          <w:bCs/>
          <w:color w:val="000000"/>
          <w:sz w:val="24"/>
          <w:szCs w:val="24"/>
          <w:lang w:eastAsia="it-IT"/>
        </w:rPr>
      </w:pPr>
      <w:r>
        <w:rPr>
          <w:rFonts w:eastAsia="Times New Roman" w:cs="Times New Roman" w:ascii="Arial" w:hAnsi="Arial"/>
          <w:b/>
          <w:bCs/>
          <w:color w:val="000000"/>
          <w:sz w:val="24"/>
          <w:szCs w:val="24"/>
          <w:lang w:eastAsia="it-IT"/>
        </w:rPr>
      </w:r>
    </w:p>
    <w:p>
      <w:pPr>
        <w:pStyle w:val="Normal"/>
        <w:spacing w:before="0" w:after="0"/>
        <w:jc w:val="center"/>
        <w:rPr>
          <w:rFonts w:ascii="Arial" w:hAnsi="Arial"/>
          <w:sz w:val="24"/>
          <w:szCs w:val="24"/>
        </w:rPr>
      </w:pPr>
      <w:r>
        <w:rPr>
          <w:rFonts w:eastAsia="Times New Roman" w:cs="Times New Roman" w:ascii="Arial" w:hAnsi="Arial"/>
          <w:color w:val="000000"/>
          <w:sz w:val="24"/>
          <w:szCs w:val="24"/>
          <w:lang w:eastAsia="it-IT"/>
        </w:rPr>
        <w:t>e</w:t>
      </w:r>
    </w:p>
    <w:p>
      <w:pPr>
        <w:pStyle w:val="Normal"/>
        <w:spacing w:before="0" w:after="0"/>
        <w:jc w:val="center"/>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lineRule="auto" w:line="360" w:before="0" w:after="0"/>
        <w:jc w:val="both"/>
        <w:rPr>
          <w:rFonts w:ascii="Arial" w:hAnsi="Arial"/>
          <w:sz w:val="24"/>
          <w:szCs w:val="24"/>
        </w:rPr>
      </w:pPr>
      <w:r>
        <w:rPr>
          <w:rFonts w:eastAsia="Times New Roman" w:cs="Times New Roman" w:ascii="Arial" w:hAnsi="Arial"/>
          <w:color w:val="000000"/>
          <w:sz w:val="24"/>
          <w:szCs w:val="24"/>
          <w:lang w:eastAsia="it-IT"/>
        </w:rPr>
        <w:t>l'Impresa: ___________________________________(di seguito operatore economico),</w:t>
        <w:br/>
        <w:t>CF/P.IVA: ______________________________________________________________</w:t>
        <w:br/>
        <w:t>sede legale: _____________________________________________________________</w:t>
        <w:br/>
        <w:t>rappresentata da: _________________________________________________________</w:t>
        <w:br/>
        <w:t>in qualità di: ____________________________________________________________</w:t>
      </w:r>
    </w:p>
    <w:p>
      <w:pPr>
        <w:pStyle w:val="Normal"/>
        <w:spacing w:before="0" w:after="0"/>
        <w:jc w:val="center"/>
        <w:rPr>
          <w:rFonts w:ascii="Arial" w:hAnsi="Arial" w:eastAsia="Times New Roman" w:cs="Times New Roman"/>
          <w:b/>
          <w:bCs/>
          <w:color w:val="000000"/>
          <w:sz w:val="24"/>
          <w:szCs w:val="24"/>
          <w:lang w:eastAsia="it-IT"/>
        </w:rPr>
      </w:pPr>
      <w:r>
        <w:rPr>
          <w:rFonts w:eastAsia="Times New Roman" w:cs="Times New Roman" w:ascii="Arial" w:hAnsi="Arial"/>
          <w:b/>
          <w:bCs/>
          <w:color w:val="000000"/>
          <w:sz w:val="24"/>
          <w:szCs w:val="24"/>
          <w:lang w:eastAsia="it-IT"/>
        </w:rPr>
      </w:r>
    </w:p>
    <w:p>
      <w:pPr>
        <w:pStyle w:val="Normal"/>
        <w:spacing w:before="0" w:after="0"/>
        <w:jc w:val="center"/>
        <w:rPr>
          <w:rFonts w:ascii="Arial" w:hAnsi="Arial"/>
          <w:sz w:val="24"/>
          <w:szCs w:val="24"/>
        </w:rPr>
      </w:pPr>
      <w:r>
        <w:rPr>
          <w:rFonts w:eastAsia="Times New Roman" w:cs="Times New Roman" w:ascii="Arial" w:hAnsi="Arial"/>
          <w:b/>
          <w:bCs/>
          <w:color w:val="000000"/>
          <w:sz w:val="24"/>
          <w:szCs w:val="24"/>
          <w:lang w:eastAsia="it-IT"/>
        </w:rPr>
        <w:t>VISTO</w:t>
      </w:r>
    </w:p>
    <w:p>
      <w:pPr>
        <w:pStyle w:val="Normal"/>
        <w:spacing w:before="0" w:after="0"/>
        <w:jc w:val="center"/>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1.   La legge 6 novembre 2012 n. 190, articolo 1, comma 17 recante "Disposizioni per la prevenzione e la repressione della corruzione e dell'illegalità nella pubblica amministrazione";</w:t>
        <w:br/>
        <w:t>2.    Il Piano Nazionale Anticorruzione, approvato con delibera ANAC n.1064 del 13 novembre 2019, prevede che le pubbliche amministrazioni e le stazioni appaltanti, in attuazione del citato articolo 1, comma 17, della Legge n.190/2012, predispongano e utilizzino protocolli di legalità o patti di integrità per l'affidamento di commesse;</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2.   Il decreto del Presidente della Repubblica 16 aprile 2013, n. 62 con il quale è stato emanato il "Regolamento recante il codice di comportamento dei dipendenti pubblici" e s.m.i;</w:t>
        <w:br/>
        <w:t>3.   Il Codice di Comportamento della Città di Torino, e s.m.i;</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4.   Il Piano Triennale della Prevenzione della Corruzione e della Trasparenza (allegato 3 al P.I.A.O) 2024-2026, attualmente vigente;</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5.   Il D.Lgs. 31 marzo 2023 n. 36 cosiddetto "Nuovo Codice dei Contratti Pubblici ";</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6.    Il D.Lgs. 6 settembre 2011, n.159 "Codice delle leggi antimafia e delle misure di prevenzione, nonché disposizioni in materia di documentazione antimafia" che all'articolo83-bis, comma 3 stabilisce che "Le stazioni appaltanti prevedono negli avvisi, bandi di gara o lettere di invito che il mancato rispetto dei protocollo di legalità costituisce causa di esclusione dalla gara o di risoluzione del contratto",</w:t>
      </w:r>
    </w:p>
    <w:p>
      <w:pPr>
        <w:pStyle w:val="Normal"/>
        <w:spacing w:before="0" w:after="0"/>
        <w:jc w:val="both"/>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center"/>
        <w:rPr>
          <w:rFonts w:ascii="Arial" w:hAnsi="Arial"/>
          <w:sz w:val="24"/>
          <w:szCs w:val="24"/>
        </w:rPr>
      </w:pPr>
      <w:r>
        <w:rPr>
          <w:rFonts w:eastAsia="Times New Roman" w:cs="Times New Roman" w:ascii="Arial" w:hAnsi="Arial"/>
          <w:b/>
          <w:bCs/>
          <w:color w:val="000000"/>
          <w:sz w:val="24"/>
          <w:szCs w:val="24"/>
          <w:lang w:eastAsia="it-IT"/>
        </w:rPr>
        <w:t>CONVENGONO QUANTO SEGUE</w:t>
      </w:r>
    </w:p>
    <w:p>
      <w:pPr>
        <w:pStyle w:val="Normal"/>
        <w:spacing w:before="0" w:after="0"/>
        <w:jc w:val="center"/>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center"/>
        <w:rPr>
          <w:rFonts w:ascii="Arial" w:hAnsi="Arial" w:eastAsia="Times New Roman" w:cs="Times New Roman"/>
          <w:b/>
          <w:bCs/>
          <w:color w:val="000000"/>
          <w:sz w:val="24"/>
          <w:szCs w:val="24"/>
          <w:lang w:eastAsia="it-IT"/>
        </w:rPr>
      </w:pPr>
      <w:r>
        <w:rPr>
          <w:rFonts w:eastAsia="Times New Roman" w:cs="Times New Roman" w:ascii="Arial" w:hAnsi="Arial"/>
          <w:b/>
          <w:bCs/>
          <w:color w:val="000000"/>
          <w:sz w:val="24"/>
          <w:szCs w:val="24"/>
          <w:lang w:eastAsia="it-IT"/>
        </w:rPr>
      </w:r>
    </w:p>
    <w:p>
      <w:pPr>
        <w:pStyle w:val="Normal"/>
        <w:spacing w:before="0" w:after="0"/>
        <w:jc w:val="center"/>
        <w:rPr>
          <w:rFonts w:ascii="Arial" w:hAnsi="Arial"/>
          <w:sz w:val="24"/>
          <w:szCs w:val="24"/>
        </w:rPr>
      </w:pPr>
      <w:r>
        <w:rPr>
          <w:rFonts w:eastAsia="Times New Roman" w:cs="Times New Roman" w:ascii="Arial" w:hAnsi="Arial"/>
          <w:b/>
          <w:bCs/>
          <w:color w:val="000000"/>
          <w:sz w:val="24"/>
          <w:szCs w:val="24"/>
          <w:lang w:eastAsia="it-IT"/>
        </w:rPr>
        <w:t>Articolo 1</w:t>
        <w:br/>
        <w:t>Finalità</w:t>
      </w:r>
    </w:p>
    <w:p>
      <w:pPr>
        <w:pStyle w:val="Normal"/>
        <w:spacing w:before="0" w:after="0"/>
        <w:jc w:val="center"/>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1.1.   Il presente Patto di integrità costituisce parte integrante e sostanziale della procedura di affidamento in oggetto e rappresenta una misura di prevenzione nei confronti di pratiche corruttive, concussive o comunque tendenti ad inficiare il corretto svolgimento dell'azione amministrativa nell'ambito degli affidamenti di pubblici affidamenti o concessioni da parte dell'Amministrazione. Il Patto di integrità si prefigge, quindi, lo scopo di ampliare e rafforzare l'ambito di operatività delle misure di prevenzione e di contrasto alle diffuse forme di illegalità nel settore dei pubblici affidamenti.</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1.2   Nel Patto sono stabilite reciproche e formali obbligazioni tra l'Amministrazione e l'Operatore economico partecipante alla procedura di affidamento ed eventualmente aggiudicatario dell'affidamento medesimo, affinché i propri comportamenti siano improntati all'osservanza dei principi di lealtà, trasparenza, correttezza e buona fede in tutte le fasi dell'affidamento, dalla partecipazione all'esecuzione contrattuale secondo il Codice dei Contratti pubblici.</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1.3   Con il patto di Integrità le Parti, in particolare, assumono l'espresso impegno anti corruttivo di non offrire, accettare o richiedere somme di denaro o qualsiasi altra ricompensa, vantaggio o beneficio - sia direttamente che indirettamente tramite intermediari - al fine dell'assegnazione del contratto e/o al fine di distorcerne la relativa corretta esecuzione.</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1.4   L'espressa accettazione del Patto di integrità costituisce condizione di ammissione a tutte le procedure di affidamento indette dall'Amministrazione.</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1.5   Il Patto di integrità, sottoscritto per accettazione dal legale rappresentante della Società, è presentato dall'Operatore economico allegato alla documentazione amministrativa richiesta per la partecipazione alla procedura di affidamento, e costituisce parte integrante e sostanziale del futuro contratto.</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Nel caso di Consorzi o Raggruppamenti Temporanei di Imprese, il Patto va sottoscritto dal legale rappresentante del Consorzio nonché da ciascuna delle Imprese consorziate o raggruppate e dall'eventuale loro Direttore/i Tecnico/i.</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Nel caso di ricorso all'avvalimento, il Patto va sottoscritto anche dal legale rappresentante dell'Impresa ausiliaria e dall'eventuale Direttore Tecnico.</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Nel caso di subappalto, il Patto di integrità va sottoscritto anche dal legale rappresentante del soggetto affidatario del subappalto medesimo, e dall'eventuale Direttore Tecnico.</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1.6   La carenza della dichiarazione di accettazione del Patto di integrità o la mancata produzione dello stesso debitamente sottoscritto dal concorrente, sono regolarizzabili attraverso la procedura di soccorso istruttorio di cui all'articolo 101 del D.Lgs. n. 36/2023. Qualora il concorrente non ottemperi a quanto richiesto con la procedura di soccorso istruttorio verrà escluso dalla relativa procedura di affidamento.</w:t>
      </w:r>
    </w:p>
    <w:p>
      <w:pPr>
        <w:pStyle w:val="Normal"/>
        <w:spacing w:before="0" w:after="0"/>
        <w:jc w:val="both"/>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both"/>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center"/>
        <w:rPr>
          <w:rFonts w:ascii="Arial" w:hAnsi="Arial"/>
          <w:sz w:val="24"/>
          <w:szCs w:val="24"/>
        </w:rPr>
      </w:pPr>
      <w:r>
        <w:rPr>
          <w:rFonts w:eastAsia="Times New Roman" w:cs="Times New Roman" w:ascii="Arial" w:hAnsi="Arial"/>
          <w:b/>
          <w:bCs/>
          <w:color w:val="000000"/>
          <w:sz w:val="24"/>
          <w:szCs w:val="24"/>
          <w:lang w:eastAsia="it-IT"/>
        </w:rPr>
        <w:t>Articolo 2</w:t>
        <w:br/>
        <w:t>Ambito di applicazione</w:t>
      </w:r>
    </w:p>
    <w:p>
      <w:pPr>
        <w:pStyle w:val="Normal"/>
        <w:spacing w:before="0" w:after="0"/>
        <w:jc w:val="center"/>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2.1   Il Patto di integrità si applica a tutte le procedure di affidamento di importo superiore ed inferiore alla soglia comunitaria. Nelle procedure sotto soglia s'intendono ricompresi anche gli affidamenti diretti.</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2.2   Il Patto di integrità regola i comportamenti degli operatori economici sia durante la fase di svolgimento delle procedure di affidamento indette dall'Amministrazione a cui gli operatori economici partecipano, sia nella fase di esecuzione del contratto eventualmente a loro affidato in esito alle predette procedure di affidamento.</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2.3   Il Patto di integrità regola, inoltre, i comportamenti di ogni soggetto dell'Amministrazione impiegato nell'ambito delle procedure di affidamento, nonché nella fase di esecuzione del conseguente contratto.</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2.4   L'Operatore economico e l'Amministrazione sono a conoscenza del contenuto del presente Patto d'Integrità, che condividono pienamente, nonché delle sanzioni previste a loro carico in caso di mancato rispetto dello stesso Patto.</w:t>
      </w:r>
    </w:p>
    <w:p>
      <w:pPr>
        <w:pStyle w:val="Normal"/>
        <w:spacing w:before="0" w:after="0"/>
        <w:jc w:val="both"/>
        <w:rPr>
          <w:rFonts w:ascii="Arial" w:hAnsi="Arial" w:eastAsia="Times New Roman" w:cs="Times New Roman"/>
          <w:b/>
          <w:bCs/>
          <w:color w:val="000000"/>
          <w:sz w:val="24"/>
          <w:szCs w:val="24"/>
          <w:lang w:eastAsia="it-IT"/>
        </w:rPr>
      </w:pPr>
      <w:r>
        <w:rPr>
          <w:rFonts w:eastAsia="Times New Roman" w:cs="Times New Roman" w:ascii="Arial" w:hAnsi="Arial"/>
          <w:b/>
          <w:bCs/>
          <w:color w:val="000000"/>
          <w:sz w:val="24"/>
          <w:szCs w:val="24"/>
          <w:lang w:eastAsia="it-IT"/>
        </w:rPr>
      </w:r>
    </w:p>
    <w:p>
      <w:pPr>
        <w:pStyle w:val="Normal"/>
        <w:spacing w:before="0" w:after="0"/>
        <w:jc w:val="center"/>
        <w:rPr>
          <w:rFonts w:ascii="Arial" w:hAnsi="Arial" w:eastAsia="Times New Roman" w:cs="Times New Roman"/>
          <w:b/>
          <w:bCs/>
          <w:color w:val="000000"/>
          <w:sz w:val="24"/>
          <w:szCs w:val="24"/>
          <w:lang w:eastAsia="it-IT"/>
        </w:rPr>
      </w:pPr>
      <w:r>
        <w:rPr>
          <w:rFonts w:eastAsia="Times New Roman" w:cs="Times New Roman" w:ascii="Arial" w:hAnsi="Arial"/>
          <w:b/>
          <w:bCs/>
          <w:color w:val="000000"/>
          <w:sz w:val="24"/>
          <w:szCs w:val="24"/>
          <w:lang w:eastAsia="it-IT"/>
        </w:rPr>
      </w:r>
    </w:p>
    <w:p>
      <w:pPr>
        <w:pStyle w:val="Normal"/>
        <w:spacing w:before="0" w:after="0"/>
        <w:jc w:val="center"/>
        <w:rPr>
          <w:rFonts w:ascii="Arial" w:hAnsi="Arial"/>
          <w:sz w:val="24"/>
          <w:szCs w:val="24"/>
        </w:rPr>
      </w:pPr>
      <w:r>
        <w:rPr>
          <w:rFonts w:eastAsia="Times New Roman" w:cs="Times New Roman" w:ascii="Arial" w:hAnsi="Arial"/>
          <w:b/>
          <w:bCs/>
          <w:color w:val="000000"/>
          <w:sz w:val="24"/>
          <w:szCs w:val="24"/>
          <w:lang w:eastAsia="it-IT"/>
        </w:rPr>
        <w:t>Articolo 3</w:t>
        <w:br/>
        <w:t>Obblighi dell'Operatore economico</w:t>
      </w:r>
    </w:p>
    <w:p>
      <w:pPr>
        <w:pStyle w:val="Normal"/>
        <w:spacing w:before="0" w:after="0"/>
        <w:jc w:val="both"/>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3.1    Con l'accettazione e la sottoscrizione del presente Patto di Integrità, l'Operatore economico si impegna:</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  </w:t>
      </w:r>
      <w:r>
        <w:rPr>
          <w:rFonts w:eastAsia="Times New Roman" w:cs="Times New Roman" w:ascii="Arial" w:hAnsi="Arial"/>
          <w:color w:val="000000"/>
          <w:sz w:val="24"/>
          <w:szCs w:val="24"/>
          <w:lang w:eastAsia="it-IT"/>
        </w:rPr>
        <w:t>-   ad agire nel rispetto dei principi di buona fede, correttezza professionale, lealtà nei confronti del Comune di Torino e degli altri concorrenti, uniformando la propria condotta ai principi di trasparenza e correttezza;</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  </w:t>
      </w:r>
      <w:r>
        <w:rPr>
          <w:rFonts w:eastAsia="Times New Roman" w:cs="Times New Roman" w:ascii="Arial" w:hAnsi="Arial"/>
          <w:color w:val="000000"/>
          <w:sz w:val="24"/>
          <w:szCs w:val="24"/>
          <w:lang w:eastAsia="it-IT"/>
        </w:rPr>
        <w:t>-   ad astenersi da comportamenti anticoncorrenziali rispettando le norme per la tutela della concorrenza e del mercato contenute nella vigente legislazione nazionale e comunitaria;</w:t>
        <w:br/>
        <w:t>  -   a non corrispondere né promettere di corrispondere ad alcuno - direttamente o tramite terzi, ivi compresi i soggetti collegati o controllati - somme di denaro, vantaggi o altre utilità finalizzate a facilitare l'aggiudicazione dell'affidamento o della concessione, ovvero forme di collisione con la persona responsabile per l'aggiudicazione della affidamento e/o la fase di esecuzione del contratto;</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  </w:t>
      </w:r>
      <w:r>
        <w:rPr>
          <w:rFonts w:eastAsia="Times New Roman" w:cs="Times New Roman" w:ascii="Arial" w:hAnsi="Arial"/>
          <w:color w:val="000000"/>
          <w:sz w:val="24"/>
          <w:szCs w:val="24"/>
          <w:lang w:eastAsia="it-IT"/>
        </w:rPr>
        <w:t>-   ad astenersi nelle trattative e negoziazioni comunque connesse con il presente affidamento o concessione comunale, da qualsiasi tentativo di influenzare impropriamente i dipendenti dell'ente che lo rappresentano ovvero che trattano o prendono decisioni per conto del Comune di Torino;</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  </w:t>
      </w:r>
      <w:r>
        <w:rPr>
          <w:rFonts w:eastAsia="Times New Roman" w:cs="Times New Roman" w:ascii="Arial" w:hAnsi="Arial"/>
          <w:color w:val="000000"/>
          <w:sz w:val="24"/>
          <w:szCs w:val="24"/>
          <w:lang w:eastAsia="it-IT"/>
        </w:rPr>
        <w:t>-   a non offrire denaro o doni ai dipendenti, né ai loro parenti, salvo che si tratti di doni o utilità d'uso di modico valore. In caso di violazione il dipendente comunale provvederà a darne comunicazione in forma scritta al Responsabile per la Prevenzione della Corruzione e della Trasparenza;</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  </w:t>
      </w:r>
      <w:r>
        <w:rPr>
          <w:rFonts w:eastAsia="Times New Roman" w:cs="Times New Roman" w:ascii="Arial" w:hAnsi="Arial"/>
          <w:color w:val="000000"/>
          <w:sz w:val="24"/>
          <w:szCs w:val="24"/>
          <w:lang w:eastAsia="it-IT"/>
        </w:rPr>
        <w:t>-   a non offrire o concedere vantaggi ad altri operatori economici affinché non concorrano all'affidamento o ritirino la loro offerta;</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  </w:t>
      </w:r>
      <w:r>
        <w:rPr>
          <w:rFonts w:eastAsia="Times New Roman" w:cs="Times New Roman" w:ascii="Arial" w:hAnsi="Arial"/>
          <w:color w:val="000000"/>
          <w:sz w:val="24"/>
          <w:szCs w:val="24"/>
          <w:lang w:eastAsia="it-IT"/>
        </w:rPr>
        <w:t>-   a non tacere l'esistenza di un accordo illecito o di un pratica concertata;</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  </w:t>
      </w:r>
      <w:r>
        <w:rPr>
          <w:rFonts w:eastAsia="Times New Roman" w:cs="Times New Roman" w:ascii="Arial" w:hAnsi="Arial"/>
          <w:color w:val="000000"/>
          <w:sz w:val="24"/>
          <w:szCs w:val="24"/>
          <w:lang w:eastAsia="it-IT"/>
        </w:rPr>
        <w:t>-   a non accordarsi con altri partecipanti alla procedura di gara per limitare con mezzi illeciti la libera concorrenza e/o per concentrare i prezzi e le condizioni dell'offerta;</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  </w:t>
      </w:r>
      <w:r>
        <w:rPr>
          <w:rFonts w:eastAsia="Times New Roman" w:cs="Times New Roman" w:ascii="Arial" w:hAnsi="Arial"/>
          <w:color w:val="000000"/>
          <w:sz w:val="24"/>
          <w:szCs w:val="24"/>
          <w:lang w:eastAsia="it-IT"/>
        </w:rPr>
        <w:t>-   a non avvalersi dell'esistenza di forme di controllo o collegamento con altre imprese a norma dell'articolo 2359 del Codice Civile, né avvalersi dell'esistenza di altre forme di collegamento sostanziale per influenzare l'andamento delle procedura di affidamento;</w:t>
        <w:br/>
        <w:t>  -   ad informare puntualmente tutto il personale di cui si avvale del presente Patto di integrità degli obblighi in esso contenuti e a vigilare sul rispetto dei medesimi;</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  </w:t>
      </w:r>
      <w:r>
        <w:rPr>
          <w:rFonts w:eastAsia="Times New Roman" w:cs="Times New Roman" w:ascii="Arial" w:hAnsi="Arial"/>
          <w:color w:val="000000"/>
          <w:sz w:val="24"/>
          <w:szCs w:val="24"/>
          <w:lang w:eastAsia="it-IT"/>
        </w:rPr>
        <w:t>-   a non conferire incarichi o stipulare contratti con i soggetti di cui all'articolo 53, comma 16-ter, del decreto legislativo n. 165/2000 e s.m.i. In caso contrario il Comune di Torino disporrà l'immediata esclusione dell'Operatore economico dalla partecipazione alla procedura di affidamento;</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  </w:t>
      </w:r>
      <w:r>
        <w:rPr>
          <w:rFonts w:eastAsia="Times New Roman" w:cs="Times New Roman" w:ascii="Arial" w:hAnsi="Arial"/>
          <w:color w:val="000000"/>
          <w:sz w:val="24"/>
          <w:szCs w:val="24"/>
          <w:lang w:eastAsia="it-IT"/>
        </w:rPr>
        <w:t>-   a rendere noti, su richiesta dell'Amministrazione, tutti i pagamenti eseguiti e riguardanti il contratto eventualmente stipulato a seguito della procedura di affidamento.</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  </w:t>
      </w:r>
      <w:r>
        <w:rPr>
          <w:rFonts w:eastAsia="Times New Roman" w:cs="Times New Roman" w:ascii="Arial" w:hAnsi="Arial"/>
          <w:color w:val="000000"/>
          <w:sz w:val="24"/>
          <w:szCs w:val="24"/>
          <w:lang w:eastAsia="it-IT"/>
        </w:rPr>
        <w:t>-   a segnalare al Responsabile Unico del Progetto e al Responsabile della Prevenzione della Corruzione e della Trasparenza della Stazione Appaltante qualsiasi tentativo di turbativa, irregolarità o distorsione nelle fasi di svolgimento del procedimento di affidamento e/o nella fase di esecuzione dei contratti, da parte di ogni interessato o addetto o di chiunque possa influenzare le decisioni relative alla affidamento in oggetto, comprese illecite richieste o pretese da parte dei dipendenti dell'Autorità;</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  </w:t>
      </w:r>
      <w:r>
        <w:rPr>
          <w:rFonts w:eastAsia="Times New Roman" w:cs="Times New Roman" w:ascii="Arial" w:hAnsi="Arial"/>
          <w:color w:val="000000"/>
          <w:sz w:val="24"/>
          <w:szCs w:val="24"/>
          <w:lang w:eastAsia="it-IT"/>
        </w:rPr>
        <w:t>-   a segnalare situazioni di conflitto di interesse, di cui sia a conoscenza, rispetto al personale della Stazione Appaltante.</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3.2.   Le segnalazioni di cui sopra non esimono l'operatore economico, qualora il fatto costituisca reato, a sporgere denuncia alla Prefettura e all'Autorità Giudiziaria.</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3.3.   L'operatore economico si impegna a collaborare con l'Autorità Giudiziaria denunciando ogni tentativo di corruzione, estorsione, intimidazione o condizionamento di natura criminale.</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3.4.   Il contraente aggiudicatario o concessionario si impegna a dare comunicazione tempestiva alla Stazione Appaltante e alle Autorità competenti, di tentativi di concussione che siano in qualsiasi modo manifestati nei confronti dell'operatore economico. Il predetto adempimento ha natura essenziale ai fini dell'esecuzione del contratto e il relativo inadempimento darà luogo alla risoluzione espressa del contratto stesso, ai sensi dell'articolo 1456 del c.c..</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3.5.</w:t>
      </w:r>
      <w:bookmarkStart w:id="0" w:name="_GoBack"/>
      <w:bookmarkEnd w:id="0"/>
      <w:r>
        <w:rPr>
          <w:rFonts w:eastAsia="Times New Roman" w:cs="Times New Roman" w:ascii="Arial" w:hAnsi="Arial"/>
          <w:color w:val="000000"/>
          <w:sz w:val="24"/>
          <w:szCs w:val="24"/>
          <w:lang w:eastAsia="it-IT"/>
        </w:rPr>
        <w:t xml:space="preserve">   Gli obblighi di cui ai precedenti commi, nelle fasi di esecuzione del contratto, si intendono riferiti all'Operatore economico con il quale l'Amministrazione ha stipulato il contratto, il quale avrà l'onere di pretendere il rispetto anche da tutti i propri eventuali subcontraenti e subappaltatori. A tal fine, la clausola che prevede il rispetto degli obblighi di cui al presente Patto di integrità, sarà inserita nei contratti stipulati dall'Operatore economico con i propri subcontraenti e subappaltatori.</w:t>
      </w:r>
    </w:p>
    <w:p>
      <w:pPr>
        <w:pStyle w:val="Normal"/>
        <w:spacing w:before="0" w:after="0"/>
        <w:jc w:val="both"/>
        <w:rPr>
          <w:rFonts w:ascii="Arial" w:hAnsi="Arial" w:eastAsia="Times New Roman" w:cs="Times New Roman"/>
          <w:b/>
          <w:bCs/>
          <w:color w:val="000000"/>
          <w:sz w:val="24"/>
          <w:szCs w:val="24"/>
          <w:shd w:fill="FFFF00" w:val="clear"/>
          <w:lang w:eastAsia="it-IT"/>
        </w:rPr>
      </w:pPr>
      <w:r>
        <w:rPr>
          <w:rFonts w:eastAsia="Times New Roman" w:cs="Times New Roman" w:ascii="Arial" w:hAnsi="Arial"/>
          <w:b/>
          <w:bCs/>
          <w:color w:val="000000"/>
          <w:sz w:val="24"/>
          <w:szCs w:val="24"/>
          <w:shd w:fill="FFFF00" w:val="clear"/>
          <w:lang w:eastAsia="it-IT"/>
        </w:rPr>
      </w:r>
    </w:p>
    <w:p>
      <w:pPr>
        <w:pStyle w:val="Normal"/>
        <w:spacing w:before="0" w:after="0"/>
        <w:jc w:val="center"/>
        <w:rPr>
          <w:rFonts w:ascii="Arial" w:hAnsi="Arial" w:eastAsia="Times New Roman" w:cs="Times New Roman"/>
          <w:b/>
          <w:bCs/>
          <w:color w:val="000000"/>
          <w:sz w:val="24"/>
          <w:szCs w:val="24"/>
          <w:lang w:eastAsia="it-IT"/>
        </w:rPr>
      </w:pPr>
      <w:r>
        <w:rPr>
          <w:rFonts w:eastAsia="Times New Roman" w:cs="Times New Roman" w:ascii="Arial" w:hAnsi="Arial"/>
          <w:b/>
          <w:bCs/>
          <w:color w:val="000000"/>
          <w:sz w:val="24"/>
          <w:szCs w:val="24"/>
          <w:lang w:eastAsia="it-IT"/>
        </w:rPr>
      </w:r>
    </w:p>
    <w:p>
      <w:pPr>
        <w:pStyle w:val="Normal"/>
        <w:spacing w:before="0" w:after="0"/>
        <w:jc w:val="center"/>
        <w:rPr>
          <w:rFonts w:ascii="Arial" w:hAnsi="Arial"/>
          <w:sz w:val="24"/>
          <w:szCs w:val="24"/>
        </w:rPr>
      </w:pPr>
      <w:r>
        <w:rPr>
          <w:rFonts w:eastAsia="Times New Roman" w:cs="Times New Roman" w:ascii="Arial" w:hAnsi="Arial"/>
          <w:b/>
          <w:bCs/>
          <w:color w:val="000000"/>
          <w:sz w:val="24"/>
          <w:szCs w:val="24"/>
          <w:lang w:eastAsia="it-IT"/>
        </w:rPr>
        <w:t>Articolo 4</w:t>
        <w:br/>
        <w:t>Sanzioni</w:t>
      </w:r>
    </w:p>
    <w:p>
      <w:pPr>
        <w:pStyle w:val="Normal"/>
        <w:spacing w:before="0" w:after="0"/>
        <w:jc w:val="center"/>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4.1    L'accertamento del mancato rispetto da parte dell'Operatore economico anche di uno solo degli obblighi indicati all'articolo 3 del presente Patto, che avverrà all'esito di un contraddittorio con l'Operatore medesimo, potrà comportare l'applicazione, anche in via cumulativa, delle seguenti sanzioni, fatte salve specifiche ulteriori previsioni di legge, una o più delle seguenti sanzioni:</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  </w:t>
      </w:r>
      <w:r>
        <w:rPr>
          <w:rFonts w:eastAsia="Times New Roman" w:cs="Times New Roman" w:ascii="Arial" w:hAnsi="Arial"/>
          <w:color w:val="000000"/>
          <w:sz w:val="24"/>
          <w:szCs w:val="24"/>
          <w:lang w:eastAsia="it-IT"/>
        </w:rPr>
        <w:t>1.   esclusione dalla procedura di affidamento o revoca dell'aggiudicazione, con conseguente escussione della cauzione provvisoria, a seconda che la violazione venga accettata nella fase precedente all'aggiudicazione dell'affidamento o nella fase successiva all'aggiudicazione ma precedente alla stipula del contratto;</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  </w:t>
      </w:r>
      <w:r>
        <w:rPr>
          <w:rFonts w:eastAsia="Times New Roman" w:cs="Times New Roman" w:ascii="Arial" w:hAnsi="Arial"/>
          <w:color w:val="000000"/>
          <w:sz w:val="24"/>
          <w:szCs w:val="24"/>
          <w:lang w:eastAsia="it-IT"/>
        </w:rPr>
        <w:t>2.   risoluzione del contratto ed escussione della cauzione definitiva se la violazione è accertata nella fase di esecuzione dell'affidamento. Resta ferma la facoltà per l'Amministrazione di non avvalersi della risoluzione del contratto qualora lo ritenga pregiudizievole per gli interessi pubblici sottesi al contratto. Sono fatti salvi, in ogni caso, l'eventuale diritto al risarcimento del danno e l'applicazione di eventuali penali nella misura giornaliera compresa tra lo 0,3 per mille e l'1 per mille dell'ammontare dell'importo contrattuale e che non possono comunque superare "complessivamente" il 10% di detto ammontare netto contrattuale;</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  </w:t>
      </w:r>
      <w:r>
        <w:rPr>
          <w:rFonts w:eastAsia="Times New Roman" w:cs="Times New Roman" w:ascii="Arial" w:hAnsi="Arial"/>
          <w:color w:val="000000"/>
          <w:sz w:val="24"/>
          <w:szCs w:val="24"/>
          <w:lang w:eastAsia="it-IT"/>
        </w:rPr>
        <w:t>3.   segnalazione all'Autorità Nazionale Anticorruzione e alle Autorità competenti.</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4.2   Nel caso di violazione del divieto previsto all'articolo 53 comma 16 ter D.Lgs. 165/2001 i contratti di lavoro conclusi e gli incarichi conferiti sono nulli. L'operatore economico che ha concluso contratti o conferito gli incarichi non può contrattare con la Città per i successivi tre anni con l'obbligo di restituzione da parte dell'ex dipendente pubblico di eventuali compensi percepiti in violazione del divieto, fatte salve l'applicazione delle ulteriori sanzioni sopra elencate.</w:t>
      </w:r>
    </w:p>
    <w:p>
      <w:pPr>
        <w:pStyle w:val="Normal"/>
        <w:spacing w:before="0" w:after="0"/>
        <w:jc w:val="both"/>
        <w:rPr>
          <w:rFonts w:ascii="Arial" w:hAnsi="Arial" w:eastAsia="Times New Roman" w:cs="Times New Roman"/>
          <w:b/>
          <w:bCs/>
          <w:color w:val="000000"/>
          <w:sz w:val="24"/>
          <w:szCs w:val="24"/>
          <w:lang w:eastAsia="it-IT"/>
        </w:rPr>
      </w:pPr>
      <w:r>
        <w:rPr>
          <w:rFonts w:eastAsia="Times New Roman" w:cs="Times New Roman" w:ascii="Arial" w:hAnsi="Arial"/>
          <w:b/>
          <w:bCs/>
          <w:color w:val="000000"/>
          <w:sz w:val="24"/>
          <w:szCs w:val="24"/>
          <w:lang w:eastAsia="it-IT"/>
        </w:rPr>
      </w:r>
    </w:p>
    <w:p>
      <w:pPr>
        <w:pStyle w:val="Normal"/>
        <w:spacing w:before="0" w:after="0"/>
        <w:jc w:val="center"/>
        <w:rPr>
          <w:rFonts w:ascii="Arial" w:hAnsi="Arial" w:eastAsia="Times New Roman" w:cs="Times New Roman"/>
          <w:b/>
          <w:bCs/>
          <w:color w:val="000000"/>
          <w:sz w:val="24"/>
          <w:szCs w:val="24"/>
          <w:lang w:eastAsia="it-IT"/>
        </w:rPr>
      </w:pPr>
      <w:r>
        <w:rPr>
          <w:rFonts w:eastAsia="Times New Roman" w:cs="Times New Roman" w:ascii="Arial" w:hAnsi="Arial"/>
          <w:b/>
          <w:bCs/>
          <w:color w:val="000000"/>
          <w:sz w:val="24"/>
          <w:szCs w:val="24"/>
          <w:lang w:eastAsia="it-IT"/>
        </w:rPr>
      </w:r>
    </w:p>
    <w:p>
      <w:pPr>
        <w:pStyle w:val="Normal"/>
        <w:spacing w:before="0" w:after="0"/>
        <w:jc w:val="center"/>
        <w:rPr>
          <w:rFonts w:ascii="Arial" w:hAnsi="Arial"/>
          <w:sz w:val="24"/>
          <w:szCs w:val="24"/>
        </w:rPr>
      </w:pPr>
      <w:r>
        <w:rPr>
          <w:rFonts w:eastAsia="Times New Roman" w:cs="Times New Roman" w:ascii="Arial" w:hAnsi="Arial"/>
          <w:b/>
          <w:bCs/>
          <w:color w:val="000000"/>
          <w:sz w:val="24"/>
          <w:szCs w:val="24"/>
          <w:lang w:eastAsia="it-IT"/>
        </w:rPr>
        <w:t>Articolo 5</w:t>
        <w:br/>
        <w:t>Obblighi dell'Amministrazione</w:t>
      </w:r>
    </w:p>
    <w:p>
      <w:pPr>
        <w:pStyle w:val="Normal"/>
        <w:spacing w:before="0" w:after="0"/>
        <w:jc w:val="center"/>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5.1    Il personale della Città di Torino, in qualsivoglia modo coinvolto nella procedura di affidamento, si obbliga a rispettare i principi di lealtà, trasparenza, correttezza e buona fede e, in particolare, si astiene dal tenere comportamenti, o dall'intraprendere azioni che procurino vantaggi illegittimi ai partecipanti, o che violino il Codice di Comportamento della Città di Torino e sono consapevoli del presente Patto d'Integrità, nonché delle sanzioni previste in caso di sua violazione.</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5.2    Qualora l'Amministrazione riceva una segnalazione in merito a condotte anomale, poste in essere dal proprio personale in relazione al procedimento di affidamento ed alle fasi di esecuzione del contratto, aprirà un procedimento istruttorio per la verifica della suddetta segnalazione, nel rispetto del principio del contraddittorio.</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5.3    Ogni qualvolta nei confronti dell'operatore economico aggiudicatario sia stata disposta misura cautelare o sia intervenuto rinvio a giudizio per taluno dei delitti contro la pubblica amministrazione (tra i quali quelli di cui agli artt. 317 c.p., 318 c.p., 319 c.p., 319 bis c.p., 319 ter c.p., 319 quater c.p., 320 c.p., 322 c.p., 322 bis c.p., 346 bis c.p., 353 c.p. e 353 bis c.p.), la Stazione appaltante si impegna ad avvalersi della clausola risolutiva espressa, di cui all'articolo 1456 c.c.</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5.4   L'esercizio della potestà risolutoria della Stazione appaltante è subordinato alla previa intesa con l'Autorità Nazionale Anticorruzione. A tal fine, la Prefettura competente, avuta comunicazione da parte della Stazione Appaltante della volontà di avvalersi della clausola risolutiva espressa di cui all'articolo 1456 c.c., ne darà comunicazione all'Autorità Nazionale Anticorruzione che potrà valutare se, in alternativa all'ipotesi risolutoria, ricorrano i presupposti per la prosecuzione del rapporto contrattuale tra Stazione Appaltante ed impresa aggiudicataria, alle condizioni di cui all'articolo 32 della Legge 114/2014.</w:t>
      </w:r>
    </w:p>
    <w:p>
      <w:pPr>
        <w:pStyle w:val="Normal"/>
        <w:spacing w:before="0" w:after="0"/>
        <w:jc w:val="both"/>
        <w:rPr>
          <w:rFonts w:ascii="Arial" w:hAnsi="Arial" w:eastAsia="Times New Roman" w:cs="Times New Roman"/>
          <w:b/>
          <w:bCs/>
          <w:color w:val="000000"/>
          <w:sz w:val="24"/>
          <w:szCs w:val="24"/>
          <w:lang w:eastAsia="it-IT"/>
        </w:rPr>
      </w:pPr>
      <w:r>
        <w:rPr>
          <w:rFonts w:eastAsia="Times New Roman" w:cs="Times New Roman" w:ascii="Arial" w:hAnsi="Arial"/>
          <w:b/>
          <w:bCs/>
          <w:color w:val="000000"/>
          <w:sz w:val="24"/>
          <w:szCs w:val="24"/>
          <w:lang w:eastAsia="it-IT"/>
        </w:rPr>
      </w:r>
    </w:p>
    <w:p>
      <w:pPr>
        <w:pStyle w:val="Normal"/>
        <w:spacing w:before="0" w:after="0"/>
        <w:jc w:val="center"/>
        <w:rPr>
          <w:rFonts w:ascii="Arial" w:hAnsi="Arial"/>
          <w:sz w:val="24"/>
          <w:szCs w:val="24"/>
        </w:rPr>
      </w:pPr>
      <w:r>
        <w:rPr>
          <w:rFonts w:eastAsia="Times New Roman" w:cs="Times New Roman" w:ascii="Arial" w:hAnsi="Arial"/>
          <w:b/>
          <w:bCs/>
          <w:color w:val="000000"/>
          <w:sz w:val="24"/>
          <w:szCs w:val="24"/>
          <w:lang w:eastAsia="it-IT"/>
        </w:rPr>
        <w:t>Articolo 6</w:t>
        <w:br/>
        <w:t>Efficacia del patto di integrità</w:t>
      </w:r>
    </w:p>
    <w:p>
      <w:pPr>
        <w:pStyle w:val="Normal"/>
        <w:spacing w:before="0" w:after="0"/>
        <w:jc w:val="center"/>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6.1   Il Patto di integrità e le relative sanzioni si applicano dall'inizio della procedura di affidamento fino all'integrale esecuzione del contratto stipulato in esito alla procedura medesima.</w:t>
      </w:r>
    </w:p>
    <w:p>
      <w:pPr>
        <w:pStyle w:val="Normal"/>
        <w:spacing w:before="0" w:after="0"/>
        <w:jc w:val="both"/>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center"/>
        <w:rPr>
          <w:rFonts w:ascii="Arial" w:hAnsi="Arial" w:eastAsia="Times New Roman" w:cs="Times New Roman"/>
          <w:b/>
          <w:bCs/>
          <w:color w:val="000000"/>
          <w:sz w:val="24"/>
          <w:szCs w:val="24"/>
          <w:lang w:eastAsia="it-IT"/>
        </w:rPr>
      </w:pPr>
      <w:r>
        <w:rPr>
          <w:rFonts w:eastAsia="Times New Roman" w:cs="Times New Roman" w:ascii="Arial" w:hAnsi="Arial"/>
          <w:b/>
          <w:bCs/>
          <w:color w:val="000000"/>
          <w:sz w:val="24"/>
          <w:szCs w:val="24"/>
          <w:lang w:eastAsia="it-IT"/>
        </w:rPr>
      </w:r>
    </w:p>
    <w:p>
      <w:pPr>
        <w:pStyle w:val="Normal"/>
        <w:spacing w:before="0" w:after="0"/>
        <w:jc w:val="center"/>
        <w:rPr>
          <w:rFonts w:ascii="Arial" w:hAnsi="Arial"/>
          <w:sz w:val="24"/>
          <w:szCs w:val="24"/>
        </w:rPr>
      </w:pPr>
      <w:r>
        <w:rPr>
          <w:rFonts w:eastAsia="Times New Roman" w:cs="Times New Roman" w:ascii="Arial" w:hAnsi="Arial"/>
          <w:b/>
          <w:bCs/>
          <w:color w:val="000000"/>
          <w:sz w:val="24"/>
          <w:szCs w:val="24"/>
          <w:lang w:eastAsia="it-IT"/>
        </w:rPr>
        <w:t>Articolo 7</w:t>
        <w:br/>
        <w:t>Foro competente</w:t>
      </w:r>
    </w:p>
    <w:p>
      <w:pPr>
        <w:pStyle w:val="Normal"/>
        <w:spacing w:before="0" w:after="0"/>
        <w:jc w:val="center"/>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7.1   Ogni controversia relativa all'interpretazione ed esecuzione del Patto d'integrità tra l'Amministrazione e l'Operatore economico e tra gli stessi operatori economici sarà risolta dall'Autorità Giudiziaria competente.</w:t>
      </w:r>
    </w:p>
    <w:p>
      <w:pPr>
        <w:pStyle w:val="Normal"/>
        <w:spacing w:beforeAutospacing="1" w:afterAutospacing="1"/>
        <w:jc w:val="both"/>
        <w:rPr>
          <w:rFonts w:ascii="Arial" w:hAnsi="Arial"/>
          <w:sz w:val="24"/>
          <w:szCs w:val="24"/>
        </w:rPr>
      </w:pPr>
      <w:r>
        <w:rPr>
          <w:rFonts w:eastAsia="Times New Roman" w:cs="Times New Roman" w:ascii="Arial" w:hAnsi="Arial"/>
          <w:color w:val="000000"/>
          <w:sz w:val="24"/>
          <w:szCs w:val="24"/>
          <w:lang w:eastAsia="it-IT"/>
        </w:rPr>
        <w:t> </w:t>
      </w:r>
    </w:p>
    <w:p>
      <w:pPr>
        <w:pStyle w:val="Normal"/>
        <w:spacing w:beforeAutospacing="1" w:afterAutospacing="1"/>
        <w:jc w:val="both"/>
        <w:rPr>
          <w:rFonts w:ascii="Arial" w:hAnsi="Arial"/>
          <w:sz w:val="24"/>
          <w:szCs w:val="24"/>
        </w:rPr>
      </w:pPr>
      <w:r>
        <w:rPr>
          <w:rFonts w:eastAsia="Times New Roman" w:cs="Times New Roman" w:ascii="Arial" w:hAnsi="Arial"/>
          <w:color w:val="000000"/>
          <w:sz w:val="24"/>
          <w:szCs w:val="24"/>
          <w:lang w:eastAsia="it-IT"/>
        </w:rPr>
        <w:t>Torino li ..................</w:t>
      </w:r>
    </w:p>
    <w:p>
      <w:pPr>
        <w:pStyle w:val="Normal"/>
        <w:spacing w:before="0" w:after="0"/>
        <w:jc w:val="both"/>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 xml:space="preserve">Per la Città di Torino </w:t>
      </w:r>
    </w:p>
    <w:p>
      <w:pPr>
        <w:pStyle w:val="Normal"/>
        <w:spacing w:before="0" w:after="0"/>
        <w:jc w:val="both"/>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both"/>
        <w:rPr>
          <w:rFonts w:ascii="Arial" w:hAnsi="Arial" w:eastAsia="Times New Roman" w:cs="Times New Roman"/>
          <w:color w:val="000000"/>
          <w:sz w:val="24"/>
          <w:szCs w:val="24"/>
          <w:lang w:eastAsia="it-IT"/>
        </w:rPr>
      </w:pPr>
      <w:r>
        <w:rPr>
          <w:rFonts w:eastAsia="Times New Roman" w:cs="Times New Roman" w:ascii="Arial" w:hAnsi="Arial"/>
          <w:color w:val="000000"/>
          <w:sz w:val="24"/>
          <w:szCs w:val="24"/>
          <w:lang w:eastAsia="it-IT"/>
        </w:rPr>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Per l'Affidatario</w:t>
      </w:r>
    </w:p>
    <w:p>
      <w:pPr>
        <w:pStyle w:val="Normal"/>
        <w:spacing w:before="0" w:after="0"/>
        <w:jc w:val="both"/>
        <w:rPr>
          <w:rFonts w:ascii="Arial" w:hAnsi="Arial"/>
          <w:sz w:val="24"/>
          <w:szCs w:val="24"/>
        </w:rPr>
      </w:pPr>
      <w:r>
        <w:rPr>
          <w:rFonts w:eastAsia="Times New Roman" w:cs="Times New Roman" w:ascii="Arial" w:hAnsi="Arial"/>
          <w:color w:val="000000"/>
          <w:sz w:val="24"/>
          <w:szCs w:val="24"/>
          <w:lang w:eastAsia="it-IT"/>
        </w:rPr>
        <w:t>Il Legale Rappresentante</w:t>
      </w:r>
    </w:p>
    <w:sectPr>
      <w:headerReference w:type="default" r:id="rId2"/>
      <w:type w:val="nextPage"/>
      <w:pgSz w:w="11906" w:h="16838"/>
      <w:pgMar w:left="1134" w:right="1134" w:gutter="0" w:header="1417" w:top="3057" w:footer="0" w:bottom="1134"/>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Intestazione"/>
      <w:suppressLineNumbers/>
      <w:spacing w:before="0" w:after="200"/>
      <w:rPr/>
    </w:pPr>
    <w:r>
      <w:rPr/>
      <w:drawing>
        <wp:anchor behindDoc="1" distT="0" distB="0" distL="0" distR="0" simplePos="0" locked="0" layoutInCell="0" allowOverlap="1" relativeHeight="8">
          <wp:simplePos x="0" y="0"/>
          <wp:positionH relativeFrom="column">
            <wp:align>center</wp:align>
          </wp:positionH>
          <wp:positionV relativeFrom="paragraph">
            <wp:posOffset>635</wp:posOffset>
          </wp:positionV>
          <wp:extent cx="1638300" cy="904875"/>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rcRect l="-44" t="-80" r="-44" b="-80"/>
                  <a:stretch>
                    <a:fillRect/>
                  </a:stretch>
                </pic:blipFill>
                <pic:spPr bwMode="auto">
                  <a:xfrm>
                    <a:off x="0" y="0"/>
                    <a:ext cx="1638300" cy="904875"/>
                  </a:xfrm>
                  <a:prstGeom prst="rect">
                    <a:avLst/>
                  </a:prstGeom>
                </pic:spPr>
              </pic:pic>
            </a:graphicData>
          </a:graphic>
        </wp:anchor>
      </w:drawing>
    </w:r>
  </w:p>
</w:hdr>
</file>

<file path=word/settings.xml><?xml version="1.0" encoding="utf-8"?>
<w:settings xmlns:w="http://schemas.openxmlformats.org/wordprocessingml/2006/main">
  <w:zoom w:percent="100"/>
  <w:defaultTabStop w:val="708"/>
  <w:autoHyphenation w:val="true"/>
  <w:hyphenationZone w:val="283"/>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TestocommentoCarattere" w:customStyle="1">
    <w:name w:val="Testo commento Carattere"/>
    <w:basedOn w:val="DefaultParagraphFont"/>
    <w:link w:val="Annotationtext"/>
    <w:uiPriority w:val="99"/>
    <w:semiHidden/>
    <w:qFormat/>
    <w:rPr>
      <w:sz w:val="20"/>
      <w:szCs w:val="20"/>
    </w:rPr>
  </w:style>
  <w:style w:type="character" w:styleId="Annotationreference">
    <w:name w:val="annotation reference"/>
    <w:basedOn w:val="DefaultParagraphFont"/>
    <w:uiPriority w:val="99"/>
    <w:semiHidden/>
    <w:unhideWhenUsed/>
    <w:qFormat/>
    <w:rPr>
      <w:sz w:val="16"/>
      <w:szCs w:val="16"/>
    </w:rPr>
  </w:style>
  <w:style w:type="character" w:styleId="TestofumettoCarattere" w:customStyle="1">
    <w:name w:val="Testo fumetto Carattere"/>
    <w:basedOn w:val="DefaultParagraphFont"/>
    <w:link w:val="BalloonText"/>
    <w:uiPriority w:val="99"/>
    <w:semiHidden/>
    <w:qFormat/>
    <w:rsid w:val="00551558"/>
    <w:rPr>
      <w:rFonts w:ascii="Tahoma" w:hAnsi="Tahoma" w:cs="Tahoma"/>
      <w:sz w:val="16"/>
      <w:szCs w:val="16"/>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customStyle="1">
    <w:name w:val="Indice"/>
    <w:basedOn w:val="Normal"/>
    <w:qFormat/>
    <w:pPr>
      <w:suppressLineNumbers/>
    </w:pPr>
    <w:rPr>
      <w:rFonts w:cs="Arial"/>
    </w:rPr>
  </w:style>
  <w:style w:type="paragraph" w:styleId="Titoloprincipale">
    <w:name w:val="Title"/>
    <w:basedOn w:val="Normal"/>
    <w:next w:val="Corpodeltesto"/>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NormalWeb">
    <w:name w:val="Normal (Web)"/>
    <w:basedOn w:val="Normal"/>
    <w:uiPriority w:val="99"/>
    <w:semiHidden/>
    <w:unhideWhenUsed/>
    <w:qFormat/>
    <w:rsid w:val="00484736"/>
    <w:pPr>
      <w:spacing w:lineRule="auto" w:line="240" w:beforeAutospacing="1" w:afterAutospacing="1"/>
    </w:pPr>
    <w:rPr>
      <w:rFonts w:ascii="Times New Roman" w:hAnsi="Times New Roman" w:eastAsia="Times New Roman" w:cs="Times New Roman"/>
      <w:sz w:val="24"/>
      <w:szCs w:val="24"/>
      <w:lang w:eastAsia="it-IT"/>
    </w:rPr>
  </w:style>
  <w:style w:type="paragraph" w:styleId="ListParagraph">
    <w:name w:val="List Paragraph"/>
    <w:basedOn w:val="Normal"/>
    <w:uiPriority w:val="34"/>
    <w:qFormat/>
    <w:rsid w:val="00484736"/>
    <w:pPr>
      <w:spacing w:before="0" w:after="200"/>
      <w:ind w:left="720" w:hanging="0"/>
      <w:contextualSpacing/>
    </w:pPr>
    <w:rPr/>
  </w:style>
  <w:style w:type="paragraph" w:styleId="Annotationtext">
    <w:name w:val="annotation text"/>
    <w:basedOn w:val="Normal"/>
    <w:link w:val="TestocommentoCarattere"/>
    <w:uiPriority w:val="99"/>
    <w:semiHidden/>
    <w:unhideWhenUsed/>
    <w:qFormat/>
    <w:pPr>
      <w:spacing w:lineRule="auto" w:line="240"/>
    </w:pPr>
    <w:rPr>
      <w:sz w:val="20"/>
      <w:szCs w:val="20"/>
    </w:rPr>
  </w:style>
  <w:style w:type="paragraph" w:styleId="BalloonText">
    <w:name w:val="Balloon Text"/>
    <w:basedOn w:val="Normal"/>
    <w:link w:val="TestofumettoCarattere"/>
    <w:uiPriority w:val="99"/>
    <w:semiHidden/>
    <w:unhideWhenUsed/>
    <w:qFormat/>
    <w:rsid w:val="00551558"/>
    <w:pPr>
      <w:spacing w:lineRule="auto" w:line="240" w:before="0" w:after="0"/>
    </w:pPr>
    <w:rPr>
      <w:rFonts w:ascii="Tahoma" w:hAnsi="Tahoma" w:cs="Tahoma"/>
      <w:sz w:val="16"/>
      <w:szCs w:val="16"/>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Intestazione">
    <w:name w:val="Header"/>
    <w:basedOn w:val="Intestazioneepidipagina"/>
    <w:pPr>
      <w:suppressLineNumbers/>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Application>LibreOffice/7.5.8.2$Windows_X86_64 LibreOffice_project/f718d63693263970429a68f568db6046aaa9df01</Application>
  <AppVersion>15.0000</AppVersion>
  <Pages>7</Pages>
  <Words>2211</Words>
  <Characters>13869</Characters>
  <CharactersWithSpaces>16151</CharactersWithSpaces>
  <Paragraphs>68</Paragraphs>
  <Company>Comune di Torino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2025-10-21T12:46:00Z</dcterms:created>
  <dc:creator>VIVIANA BONANTE</dc:creator>
  <dc:description/>
  <dc:language>it-IT</dc:language>
  <cp:lastModifiedBy/>
  <dcterms:modified xsi:type="dcterms:W3CDTF">2025-10-27T13:57:58Z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