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_rels/header1.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rFonts w:ascii="Arial" w:hAnsi="Arial"/>
          <w:sz w:val="24"/>
          <w:szCs w:val="24"/>
        </w:rPr>
      </w:pPr>
      <w:r>
        <w:rPr>
          <w:rFonts w:ascii="Arial" w:hAnsi="Arial"/>
          <w:b/>
          <w:bCs/>
          <w:sz w:val="24"/>
          <w:szCs w:val="24"/>
        </w:rPr>
        <w:t>ALLEGATO 3</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PATTO DI INTEGRITÀ RELATIVO ALLE PROCEDURE DI AFFIDAMENTO FINALIZZATE ALLA STIPULA DEI CONTRATTI PUBBLICI</w:t>
      </w:r>
      <w:r>
        <w:rPr>
          <w:rFonts w:eastAsia="Times New Roman" w:cs="Times New Roman" w:ascii="Arial" w:hAnsi="Arial"/>
          <w:color w:val="000000"/>
          <w:sz w:val="24"/>
          <w:szCs w:val="24"/>
          <w:lang w:eastAsia="it-IT"/>
        </w:rPr>
        <w:br/>
        <w:t>(articolo1, comma 17, della Legge 6 novembre 2012, n.190)</w:t>
      </w:r>
    </w:p>
    <w:p>
      <w:pPr>
        <w:pStyle w:val="Normal"/>
        <w:spacing w:beforeAutospacing="1" w:afterAutospacing="1"/>
        <w:jc w:val="both"/>
        <w:rPr>
          <w:rFonts w:ascii="Arial" w:hAnsi="Arial"/>
          <w:sz w:val="24"/>
          <w:szCs w:val="24"/>
        </w:rPr>
      </w:pPr>
      <w:r>
        <w:rPr>
          <w:rFonts w:eastAsia="Times New Roman" w:cs="Times New Roman" w:ascii="Arial" w:hAnsi="Arial"/>
          <w:color w:val="000000"/>
          <w:sz w:val="24"/>
          <w:szCs w:val="24"/>
          <w:lang w:eastAsia="it-IT"/>
        </w:rPr>
        <w:t>Per la procedura di affidamento:</w:t>
      </w:r>
      <w:r>
        <w:rPr>
          <w:rFonts w:eastAsia="Times New Roman" w:cs="Times New Roman" w:ascii="Arial" w:hAnsi="Arial"/>
          <w:color w:val="000000"/>
          <w:sz w:val="24"/>
          <w:szCs w:val="24"/>
          <w:shd w:fill="auto" w:val="clear"/>
          <w:lang w:eastAsia="it-IT"/>
        </w:rPr>
        <w:t xml:space="preserve"> </w:t>
      </w:r>
      <w:r>
        <w:rPr>
          <w:rFonts w:eastAsia="Times New Roman" w:cs="Times New Roman" w:ascii="Arial" w:hAnsi="Arial"/>
          <w:b/>
          <w:bCs/>
          <w:color w:val="000000"/>
          <w:sz w:val="24"/>
          <w:szCs w:val="24"/>
          <w:shd w:fill="auto" w:val="clear"/>
          <w:lang w:eastAsia="it-IT"/>
        </w:rPr>
        <w:t xml:space="preserve">SERVIZIO DI MANUTENZIONE ORDINARIA AREE VERDI, LUDICHE E </w:t>
      </w:r>
      <w:r>
        <w:rPr>
          <w:rFonts w:eastAsia="Times New Roman" w:cs="Times New Roman" w:ascii="Arial" w:hAnsi="Arial"/>
          <w:b/>
          <w:bCs/>
          <w:color w:val="000000"/>
          <w:kern w:val="0"/>
          <w:sz w:val="24"/>
          <w:szCs w:val="24"/>
          <w:shd w:fill="auto" w:val="clear"/>
          <w:lang w:val="it-IT" w:eastAsia="it-IT" w:bidi="ar-SA"/>
        </w:rPr>
        <w:t xml:space="preserve">ARREDO </w:t>
      </w:r>
      <w:r>
        <w:rPr>
          <w:rFonts w:eastAsia="Times New Roman" w:cs="Times New Roman" w:ascii="Arial" w:hAnsi="Arial"/>
          <w:b/>
          <w:bCs/>
          <w:color w:val="000000"/>
          <w:sz w:val="24"/>
          <w:szCs w:val="24"/>
          <w:shd w:fill="auto" w:val="clear"/>
          <w:lang w:eastAsia="it-IT"/>
        </w:rPr>
        <w:t>URBANO SUL TERRITORIO DELLA CIRCOSCRIZIONE 5 – ANNI 2026-2027</w:t>
      </w:r>
    </w:p>
    <w:p>
      <w:pPr>
        <w:pStyle w:val="Normal"/>
        <w:spacing w:before="0" w:after="0"/>
        <w:jc w:val="both"/>
        <w:rPr>
          <w:rFonts w:ascii="Arial" w:hAnsi="Arial"/>
          <w:sz w:val="24"/>
          <w:szCs w:val="24"/>
        </w:rPr>
      </w:pPr>
      <w:r>
        <w:rPr>
          <w:rFonts w:eastAsia="Times New Roman" w:cs="Times New Roman" w:ascii="Arial" w:hAnsi="Arial"/>
          <w:color w:val="000000"/>
          <w:sz w:val="24"/>
          <w:szCs w:val="24"/>
          <w:shd w:fill="auto" w:val="clear"/>
          <w:lang w:eastAsia="it-IT"/>
        </w:rPr>
        <w:t>Il presente Patto interessa tutte le imprese che con</w:t>
      </w:r>
      <w:r>
        <w:rPr>
          <w:rFonts w:eastAsia="Times New Roman" w:cs="Times New Roman" w:ascii="Arial" w:hAnsi="Arial"/>
          <w:color w:val="000000"/>
          <w:sz w:val="24"/>
          <w:szCs w:val="24"/>
          <w:lang w:eastAsia="it-IT"/>
        </w:rPr>
        <w:t>corrono alle procedure di affidamento e di concessione ed eseguono contratti in qualità di soggetto aggiudicatario o subappaltatore o che richiedano l'iscrizione all'Albo Fornitori ed è richiamato nei bandi di gara e negli inviti.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Il presente Patto, già sottoscritto dal Responsabile Unico di Progetto, deve essere obbligatoriamente sottoscritto e presentato insieme all'offerta da ciascun partecipante a qualsiasi titolo all'affidamento in oggetto. La mancata consegna del documento debitamente sottoscritto sarà oggetto di regolarizzazione con le modalità indicate all'articolo 101 D.Lgs. 36/2023.</w:t>
      </w:r>
    </w:p>
    <w:p>
      <w:pPr>
        <w:pStyle w:val="Normal"/>
        <w:spacing w:before="0" w:after="0"/>
        <w:jc w:val="both"/>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both"/>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Il Comune di Torino</w:t>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color w:val="000000"/>
          <w:sz w:val="24"/>
          <w:szCs w:val="24"/>
          <w:lang w:eastAsia="it-IT"/>
        </w:rPr>
        <w:t>e</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lineRule="auto" w:line="360" w:before="0" w:after="0"/>
        <w:jc w:val="both"/>
        <w:rPr>
          <w:rFonts w:ascii="Arial" w:hAnsi="Arial"/>
          <w:sz w:val="24"/>
          <w:szCs w:val="24"/>
        </w:rPr>
      </w:pPr>
      <w:r>
        <w:rPr>
          <w:rFonts w:eastAsia="Times New Roman" w:cs="Times New Roman" w:ascii="Arial" w:hAnsi="Arial"/>
          <w:color w:val="000000"/>
          <w:sz w:val="24"/>
          <w:szCs w:val="24"/>
          <w:lang w:eastAsia="it-IT"/>
        </w:rPr>
        <w:t>l'Impresa: ___________________________________(di seguito operatore economico),</w:t>
        <w:br/>
        <w:t>CF/P.IVA: ______________________________________________________________</w:t>
        <w:br/>
        <w:t>sede legale: _____________________________________________________________</w:t>
        <w:br/>
        <w:t>rappresentata da: _________________________________________________________</w:t>
        <w:br/>
        <w:t>in qualità di: ____________________________________________________________</w:t>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VISTO</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   La legge 6 novembre 2012 n. 190, articolo 1, comma 17 recante "Disposizioni per la prevenzione e la repressione della corruzione e dell'illegalità nella pubblica amministrazione";</w:t>
        <w:br/>
        <w:t>2.    Il Piano Nazionale Anticorruzione, approvato con delibera ANAC n.1064 del 13 novembre 2019, prevede che le pubbliche amministrazioni e le stazioni appaltanti, in attuazione del citato articolo 1, comma 17, della Legge n.190/2012, predispongano e utilizzino protocolli di legalità o patti di integrità per l'affidamento di commesse;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2.   Il decreto del Presidente della Repubblica 16 aprile 2013, n. 62 con il quale è stato emanato il "Regolamento recante il codice di comportamento dei dipendenti pubblici" e s.m.i;</w:t>
        <w:br/>
        <w:t>3.   Il Codice di Comportamento della Città di Torino, e s.m.i;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4.   Il Piano Triennale della Prevenzione della Corruzione e della Trasparenza (allegato 3 al P.I.A.O) 2024-2026, attualmente vigente;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5.   Il D.Lgs. 31 marzo 2023 n. 36 cosiddetto "Nuovo Codice dei Contratti Pubblici ";</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6.    Il D.Lgs. 6 settembre 2011, n.159 "Codice delle leggi antimafia e delle misure di prevenzione, nonché disposizioni in materia di documentazione antimafia" che all'articolo83-bis, comma 3 stabilisce che "Le stazioni appaltanti prevedono negli avvisi, bandi di gara o lettere di invito che il mancato rispetto dei protocollo di legalità costituisce causa di esclusione dalla gara o di risoluzione del contratto",</w:t>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CONVENGONO QUANTO SEGUE</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1</w:t>
        <w:br/>
        <w:t>Finalità</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1.1.   Il presente Patto di integrità costituisce parte integrante e sostanziale della procedura di affidamento in oggetto e rappresenta una misura di prevenzione nei confronti di pratiche corruttive, concussive o comunque tendenti ad inficiare il corretto svolgimento dell'azione amministrativa nell'ambito degli affidamenti di pubblici affidamenti o concessioni da parte dell'Amministrazione. Il Patto di integrità si prefigge, quindi, lo scopo di ampliare e rafforzare l'ambito di operatività delle misure di prevenzione e di contrasto alle diffuse forme di illegalità nel settore dei pubblici affidamenti.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1.2   Nel Patto sono stabilite reciproche e formali obbligazioni tra l'Amministrazione e l'Operatore economico partecipante alla procedura di affidamento ed eventualmente aggiudicatario dell'affidamento medesimo, affinché i propri comportamenti siano improntati all'osservanza dei principi di lealtà, trasparenza, correttezza e buona fede in tutte le fasi dell'affidamento, dalla partecipazione all'esecuzione contrattuale secondo il Codice dei Contratti pubblici.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1.3   Con il patto di Integrità le Parti, in particolare, assumono l'espresso impegno anti corruttivo di non offrire, accettare o richiedere somme di denaro o qualsiasi altra ricompensa, vantaggio o beneficio - sia direttamente che indirettamente tramite intermediari - al fine dell'assegnazione del contratto e/o al fine di distorcerne la relativa corretta esecuzione.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1.4   L'espressa accettazione del Patto di integrità costituisce condizione di ammissione a tutte le procedure di affidamento indette dall'Amministrazione.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1.5   Il Patto di integrità, sottoscritto per accettazione dal legale rappresentante della Società, è presentato dall'Operatore economico allegato alla documentazione amministrativa richiesta per la partecipazione alla procedura di affidamento, e costituisce parte integrante e sostanziale del futuro contratto.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Nel caso di Consorzi o Raggruppamenti Temporanei di Imprese, il Patto va sottoscritto dal legale rappresentante del Consorzio nonché da ciascuna delle Imprese consorziate o raggruppate e dall'eventuale loro Direttore/i Tecnico/i.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Nel caso di ricorso all'avvalimento, il Patto va sottoscritto anche dal legale rappresentante dell'Impresa ausiliaria e dall'eventuale Direttore Tecnico.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Nel caso di subappalto, il Patto di integrità va sottoscritto anche dal legale rappresentante del soggetto affidatario del subappalto medesimo, e dall'eventuale Direttore Tecnico.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1.6   La carenza della dichiarazione di accettazione del Patto di integrità o la mancata produzione dello stesso debitamente sottoscritto dal concorrente, sono regolarizzabili attraverso la procedura di soccorso istruttorio di cui all'articolo 101 del D.Lgs. n. 36/2023. Qualora il concorrente non ottemperi a quanto richiesto con la procedura di soccorso istruttorio verrà escluso dalla relativa procedura di affidamento.</w:t>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2</w:t>
        <w:br/>
        <w:t>Ambito di applicazione</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2.1   Il Patto di integrità si applica a tutte le procedure di affidamento di importo superiore ed inferiore alla soglia comunitaria. Nelle procedure sotto soglia s'intendono ricompresi anche gli affidamenti diretti.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2.2   Il Patto di integrità regola i comportamenti degli operatori economici sia durante la fase di svolgimento delle procedure di affidamento indette dall'Amministrazione a cui gli operatori economici partecipano, sia nella fase di esecuzione del contratto eventualmente a loro affidato in esito alle predette procedure di affidamento.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2.3   Il Patto di integrità regola, inoltre, i comportamenti di ogni soggetto dell'Amministrazione impiegato nell'ambito delle procedure di affidamento, nonché nella fase di esecuzione del conseguente contratto.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2.4   L'Operatore economico e l'Amministrazione sono a conoscenza del contenuto del presente Patto d'Integrità, che condividono pienamente, nonché delle sanzioni previste a loro carico in caso di mancato rispetto dello stesso Patto.</w:t>
      </w:r>
    </w:p>
    <w:p>
      <w:pPr>
        <w:pStyle w:val="Normal"/>
        <w:spacing w:before="0" w:after="0"/>
        <w:jc w:val="both"/>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3</w:t>
        <w:br/>
        <w:t>Obblighi dell'Operatore economico</w:t>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3.1    Con l'accettazione e la sottoscrizione del presente Patto di Integrità, l'Operatore economico si impegna: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ad agire nel rispetto dei principi di buona fede, correttezza professionale, lealtà nei confronti del Comune di Torino e degli altri concorrenti, uniformando la propria condotta ai principi di trasparenza e correttezza;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ad astenersi da comportamenti anticoncorrenziali rispettando le norme per la tutela della concorrenza e del mercato contenute nella vigente legislazione nazionale e comunitaria;</w:t>
        <w:br/>
        <w:t>  -   a non corrispondere né promettere di corrispondere ad alcuno - direttamente o tramite terzi, ivi compresi i soggetti collegati o controllati - somme di denaro, vantaggi o altre utilità finalizzate a facilitare l'aggiudicazione dell'affidamento o della concessione, ovvero forme di collisione con la persona responsabile per l'aggiudicazione della affidamento e/o la fase di esecuzione del contratto;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ad astenersi nelle trattative e negoziazioni comunque connesse con il presente affidamento o concessione comunale, da qualsiasi tentativo di influenzare impropriamente i dipendenti dell'ente che lo rappresentano ovvero che trattano o prendono decisioni per conto del Comune di Torino;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non offrire denaro o doni ai dipendenti, né ai loro parenti, salvo che si tratti di doni o utilità d'uso di modico valore. In caso di violazione il dipendente comunale provvederà a darne comunicazione in forma scritta al Responsabile per la Prevenzione della Corruzione e della Trasparenza;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non offrire o concedere vantaggi ad altri operatori economici affinché non concorrano all'affidamento o ritirino la loro offerta;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non tacere l'esistenza di un accordo illecito o di un pratica concertata;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non accordarsi con altri partecipanti alla procedura di gara per limitare con mezzi illeciti la libera concorrenza e/o per concentrare i prezzi e le condizioni dell'offerta;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non avvalersi dell'esistenza di forme di controllo o collegamento con altre imprese a norma dell'articolo 2359 del Codice Civile, né avvalersi dell'esistenza di altre forme di collegamento sostanziale per influenzare l'andamento delle procedura di affidamento;</w:t>
        <w:br/>
        <w:t>  -   ad informare puntualmente tutto il personale di cui si avvale del presente Patto di integrità degli obblighi in esso contenuti e a vigilare sul rispetto dei medesimi;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non conferire incarichi o stipulare contratti con i soggetti di cui all'articolo 53, comma 16-ter, del decreto legislativo n. 165/2000 e s.m.i. In caso contrario il Comune di Torino disporrà l'immediata esclusione dell'Operatore economico dalla partecipazione alla procedura di affidamento;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rendere noti, su richiesta dell'Amministrazione, tutti i pagamenti eseguiti e riguardanti il contratto eventualmente stipulato a seguito della procedura di affidamento.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segnalare al Responsabile Unico del Progetto e al Responsabile della Prevenzione della Corruzione e della Trasparenza della Stazione Appaltante qualsiasi tentativo di turbativa, irregolarità o distorsione nelle fasi di svolgimento del procedimento di affidamento e/o nella fase di esecuzione dei contratti, da parte di ogni interessato o addetto o di chiunque possa influenzare le decisioni relative alla affidamento in oggetto, comprese illecite richieste o pretese da parte dei dipendenti dell'Autorità;</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   a segnalare situazioni di conflitto di interesse, di cui sia a conoscenza, rispetto al personale della Stazione Appaltante.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3.2.   Le segnalazioni di cui sopra non esimono l'operatore economico, qualora il fatto costituisca reato, a sporgere denuncia alla Prefettura e all'Autorità Giudiziaria.</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3.3.   L'operatore economico si impegna a collaborare con l'Autorità Giudiziaria denunciando ogni tentativo di corruzione, estorsione, intimidazione o condizionamento di natura criminale.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3.4.   Il contraente aggiudicatario o concessionario si impegna a dare comunicazione tempestiva alla Stazione Appaltante e alle Autorità competenti, di tentativi di concussione che siano in qualsiasi modo manifestati nei confronti dell'operatore economico. Il predetto adempimento ha natura essenziale ai fini dell'esecuzione del contratto e il relativo inadempimento darà luogo alla risoluzione espressa del contratto stesso, ai sensi dell'articolo 1456 del c.c..</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3.5.</w:t>
      </w:r>
      <w:bookmarkStart w:id="0" w:name="_GoBack"/>
      <w:bookmarkEnd w:id="0"/>
      <w:r>
        <w:rPr>
          <w:rFonts w:eastAsia="Times New Roman" w:cs="Times New Roman" w:ascii="Arial" w:hAnsi="Arial"/>
          <w:color w:val="000000"/>
          <w:sz w:val="24"/>
          <w:szCs w:val="24"/>
          <w:lang w:eastAsia="it-IT"/>
        </w:rPr>
        <w:t xml:space="preserve">   Gli obblighi di cui ai precedenti commi, nelle fasi di esecuzione del contratto, si intendono riferiti all'Operatore economico con il quale l'Amministrazione ha stipulato il contratto, il quale avrà l'onere di pretendere il rispetto anche da tutti i propri eventuali subcontraenti e subappaltatori. A tal fine, la clausola che prevede il rispetto degli obblighi di cui al presente Patto di integrità, sarà inserita nei contratti stipulati dall'Operatore economico con i propri subcontraenti e subappaltatori.</w:t>
      </w:r>
    </w:p>
    <w:p>
      <w:pPr>
        <w:pStyle w:val="Normal"/>
        <w:spacing w:before="0" w:after="0"/>
        <w:jc w:val="both"/>
        <w:rPr>
          <w:rFonts w:ascii="Arial" w:hAnsi="Arial" w:eastAsia="Times New Roman" w:cs="Times New Roman"/>
          <w:b/>
          <w:bCs/>
          <w:color w:val="000000"/>
          <w:sz w:val="24"/>
          <w:szCs w:val="24"/>
          <w:shd w:fill="FFFF00" w:val="clear"/>
          <w:lang w:eastAsia="it-IT"/>
        </w:rPr>
      </w:pPr>
      <w:r>
        <w:rPr>
          <w:rFonts w:eastAsia="Times New Roman" w:cs="Times New Roman" w:ascii="Arial" w:hAnsi="Arial"/>
          <w:b/>
          <w:bCs/>
          <w:color w:val="000000"/>
          <w:sz w:val="24"/>
          <w:szCs w:val="24"/>
          <w:shd w:fill="FFFF00" w:val="clear"/>
          <w:lang w:eastAsia="it-IT"/>
        </w:rPr>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4</w:t>
        <w:br/>
        <w:t>Sanzioni</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4.1    L'accertamento del mancato rispetto da parte dell'Operatore economico anche di uno solo degli obblighi indicati all'articolo 3 del presente Patto, che avverrà all'esito di un contraddittorio con l'Operatore medesimo, potrà comportare l'applicazione, anche in via cumulativa, delle seguenti sanzioni, fatte salve specifiche ulteriori previsioni di legge, una o più delle seguenti sanzioni: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1.   esclusione dalla procedura di affidamento o revoca dell'aggiudicazione, con conseguente escussione della cauzione provvisoria, a seconda che la violazione venga accettata nella fase precedente all'aggiudicazione dell'affidamento o nella fase successiva all'aggiudicazione ma precedente alla stipula del contratto;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2.   risoluzione del contratto ed escussione della cauzione definitiva se la violazione è accertata nella fase di esecuzione dell'affidamento. Resta ferma la facoltà per l'Amministrazione di non avvalersi della risoluzione del contratto qualora lo ritenga pregiudizievole per gli interessi pubblici sottesi al contratto. Sono fatti salvi, in ogni caso, l'eventuale diritto al risarcimento del danno e l'applicazione di eventuali penali nella misura giornaliera compresa tra lo 0,3 per mille e l'1 per mille dell'ammontare dell'importo contrattuale e che non possono comunque superare "complessivamente" il 10% di detto ammontare netto contrattuale;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w:t>
      </w:r>
      <w:r>
        <w:rPr>
          <w:rFonts w:eastAsia="Times New Roman" w:cs="Times New Roman" w:ascii="Arial" w:hAnsi="Arial"/>
          <w:color w:val="000000"/>
          <w:sz w:val="24"/>
          <w:szCs w:val="24"/>
          <w:lang w:eastAsia="it-IT"/>
        </w:rPr>
        <w:t>3.   segnalazione all'Autorità Nazionale Anticorruzione e alle Autorità competenti.</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4.2   Nel caso di violazione del divieto previsto all'articolo 53 comma 16 ter D.Lgs. 165/2001 i contratti di lavoro conclusi e gli incarichi conferiti sono nulli. L'operatore economico che ha concluso contratti o conferito gli incarichi non può contrattare con la Città per i successivi tre anni con l'obbligo di restituzione da parte dell'ex dipendente pubblico di eventuali compensi percepiti in violazione del divieto, fatte salve l'applicazione delle ulteriori sanzioni sopra elencate.</w:t>
      </w:r>
    </w:p>
    <w:p>
      <w:pPr>
        <w:pStyle w:val="Normal"/>
        <w:spacing w:before="0" w:after="0"/>
        <w:jc w:val="both"/>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5</w:t>
        <w:br/>
        <w:t>Obblighi dell'Amministrazione</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5.1    Il personale della Città di Torino, in qualsivoglia modo coinvolto nella procedura di affidamento, si obbliga a rispettare i principi di lealtà, trasparenza, correttezza e buona fede e, in particolare, si astiene dal tenere comportamenti, o dall'intraprendere azioni che procurino vantaggi illegittimi ai partecipanti, o che violino il Codice di Comportamento della Città di Torino e sono consapevoli del presente Patto d'Integrità, nonché delle sanzioni previste in caso di sua violazione.</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5.2    Qualora l'Amministrazione riceva una segnalazione in merito a condotte anomale, poste in essere dal proprio personale in relazione al procedimento di affidamento ed alle fasi di esecuzione del contratto, aprirà un procedimento istruttorio per la verifica della suddetta segnalazione, nel rispetto del principio del contraddittorio.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5.3    Ogni qualvolta nei confronti dell'operatore economico aggiudicatario sia stata disposta misura cautelare o sia intervenuto rinvio a giudizio per taluno dei delitti contro la pubblica amministrazione (tra i quali quelli di cui agli artt. 317 c.p., 318 c.p., 319 c.p., 319 bis c.p., 319 ter c.p., 319 quater c.p., 320 c.p., 322 c.p., 322 bis c.p., 346 bis c.p., 353 c.p. e 353 bis c.p.), la Stazione appaltante si impegna ad avvalersi della clausola risolutiva espressa, di cui all'articolo 1456 c.c.</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5.4   L'esercizio della potestà risolutoria della Stazione appaltante è subordinato alla previa intesa con l'Autorità Nazionale Anticorruzione. A tal fine, la Prefettura competente, avuta comunicazione da parte della Stazione Appaltante della volontà di avvalersi della clausola risolutiva espressa di cui all'articolo 1456 c.c., ne darà comunicazione all'Autorità Nazionale Anticorruzione che potrà valutare se, in alternativa all'ipotesi risolutoria, ricorrano i presupposti per la prosecuzione del rapporto contrattuale tra Stazione Appaltante ed impresa aggiudicataria, alle condizioni di cui all'articolo 32 della Legge 114/2014.</w:t>
      </w:r>
    </w:p>
    <w:p>
      <w:pPr>
        <w:pStyle w:val="Normal"/>
        <w:spacing w:before="0" w:after="0"/>
        <w:jc w:val="both"/>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6</w:t>
        <w:br/>
        <w:t>Efficacia del patto di integrità</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6.1   Il Patto di integrità e le relative sanzioni si applicano dall'inizio della procedura di affidamento fino all'integrale esecuzione del contratto stipulato in esito alla procedura medesima.</w:t>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center"/>
        <w:rPr>
          <w:rFonts w:ascii="Arial" w:hAnsi="Arial" w:eastAsia="Times New Roman" w:cs="Times New Roman"/>
          <w:b/>
          <w:bCs/>
          <w:color w:val="000000"/>
          <w:sz w:val="24"/>
          <w:szCs w:val="24"/>
          <w:lang w:eastAsia="it-IT"/>
        </w:rPr>
      </w:pPr>
      <w:r>
        <w:rPr>
          <w:rFonts w:eastAsia="Times New Roman" w:cs="Times New Roman" w:ascii="Arial" w:hAnsi="Arial"/>
          <w:b/>
          <w:bCs/>
          <w:color w:val="000000"/>
          <w:sz w:val="24"/>
          <w:szCs w:val="24"/>
          <w:lang w:eastAsia="it-IT"/>
        </w:rPr>
      </w:r>
    </w:p>
    <w:p>
      <w:pPr>
        <w:pStyle w:val="Normal"/>
        <w:spacing w:before="0" w:after="0"/>
        <w:jc w:val="center"/>
        <w:rPr>
          <w:rFonts w:ascii="Arial" w:hAnsi="Arial"/>
          <w:sz w:val="24"/>
          <w:szCs w:val="24"/>
        </w:rPr>
      </w:pPr>
      <w:r>
        <w:rPr>
          <w:rFonts w:eastAsia="Times New Roman" w:cs="Times New Roman" w:ascii="Arial" w:hAnsi="Arial"/>
          <w:b/>
          <w:bCs/>
          <w:color w:val="000000"/>
          <w:sz w:val="24"/>
          <w:szCs w:val="24"/>
          <w:lang w:eastAsia="it-IT"/>
        </w:rPr>
        <w:t>Articolo 7</w:t>
        <w:br/>
        <w:t>Foro competente</w:t>
      </w:r>
    </w:p>
    <w:p>
      <w:pPr>
        <w:pStyle w:val="Normal"/>
        <w:spacing w:before="0" w:after="0"/>
        <w:jc w:val="center"/>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7.1   Ogni controversia relativa all'interpretazione ed esecuzione del Patto d'integrità tra l'Amministrazione e l'Operatore economico e tra gli stessi operatori economici sarà risolta dall'Autorità Giudiziaria competente.</w:t>
      </w:r>
    </w:p>
    <w:p>
      <w:pPr>
        <w:pStyle w:val="Normal"/>
        <w:spacing w:beforeAutospacing="1" w:afterAutospacing="1"/>
        <w:jc w:val="both"/>
        <w:rPr>
          <w:rFonts w:ascii="Arial" w:hAnsi="Arial"/>
          <w:sz w:val="24"/>
          <w:szCs w:val="24"/>
        </w:rPr>
      </w:pPr>
      <w:r>
        <w:rPr>
          <w:rFonts w:eastAsia="Times New Roman" w:cs="Times New Roman" w:ascii="Arial" w:hAnsi="Arial"/>
          <w:color w:val="000000"/>
          <w:sz w:val="24"/>
          <w:szCs w:val="24"/>
          <w:lang w:eastAsia="it-IT"/>
        </w:rPr>
        <w:t> </w:t>
      </w:r>
    </w:p>
    <w:p>
      <w:pPr>
        <w:pStyle w:val="Normal"/>
        <w:spacing w:beforeAutospacing="1" w:afterAutospacing="1"/>
        <w:jc w:val="both"/>
        <w:rPr>
          <w:rFonts w:ascii="Arial" w:hAnsi="Arial"/>
          <w:sz w:val="24"/>
          <w:szCs w:val="24"/>
        </w:rPr>
      </w:pPr>
      <w:r>
        <w:rPr>
          <w:rFonts w:eastAsia="Times New Roman" w:cs="Times New Roman" w:ascii="Arial" w:hAnsi="Arial"/>
          <w:color w:val="000000"/>
          <w:sz w:val="24"/>
          <w:szCs w:val="24"/>
          <w:lang w:eastAsia="it-IT"/>
        </w:rPr>
        <w:t>Torino li ..................</w:t>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 xml:space="preserve">Per la Città di Torino </w:t>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eastAsia="Times New Roman" w:cs="Times New Roman"/>
          <w:color w:val="000000"/>
          <w:sz w:val="24"/>
          <w:szCs w:val="24"/>
          <w:lang w:eastAsia="it-IT"/>
        </w:rPr>
      </w:pPr>
      <w:r>
        <w:rPr>
          <w:rFonts w:eastAsia="Times New Roman" w:cs="Times New Roman" w:ascii="Arial" w:hAnsi="Arial"/>
          <w:color w:val="000000"/>
          <w:sz w:val="24"/>
          <w:szCs w:val="24"/>
          <w:lang w:eastAsia="it-IT"/>
        </w:rPr>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Per l'Affidatario</w:t>
      </w:r>
    </w:p>
    <w:p>
      <w:pPr>
        <w:pStyle w:val="Normal"/>
        <w:spacing w:before="0" w:after="0"/>
        <w:jc w:val="both"/>
        <w:rPr>
          <w:rFonts w:ascii="Arial" w:hAnsi="Arial"/>
          <w:sz w:val="24"/>
          <w:szCs w:val="24"/>
        </w:rPr>
      </w:pPr>
      <w:r>
        <w:rPr>
          <w:rFonts w:eastAsia="Times New Roman" w:cs="Times New Roman" w:ascii="Arial" w:hAnsi="Arial"/>
          <w:color w:val="000000"/>
          <w:sz w:val="24"/>
          <w:szCs w:val="24"/>
          <w:lang w:eastAsia="it-IT"/>
        </w:rPr>
        <w:t>Il Legale Rappresentante</w:t>
      </w:r>
    </w:p>
    <w:sectPr>
      <w:headerReference w:type="default" r:id="rId2"/>
      <w:type w:val="nextPage"/>
      <w:pgSz w:w="11906" w:h="16838"/>
      <w:pgMar w:left="1134" w:right="1134" w:gutter="0" w:header="1417" w:top="3057"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suppressLineNumbers/>
      <w:spacing w:before="0" w:after="200"/>
      <w:rPr/>
    </w:pPr>
    <w:r>
      <w:rPr/>
      <w:drawing>
        <wp:anchor behindDoc="1" distT="0" distB="0" distL="0" distR="0" simplePos="0" locked="0" layoutInCell="0" allowOverlap="1" relativeHeight="8">
          <wp:simplePos x="0" y="0"/>
          <wp:positionH relativeFrom="column">
            <wp:align>center</wp:align>
          </wp:positionH>
          <wp:positionV relativeFrom="paragraph">
            <wp:posOffset>635</wp:posOffset>
          </wp:positionV>
          <wp:extent cx="1638300" cy="904875"/>
          <wp:effectExtent l="0" t="0" r="0" b="0"/>
          <wp:wrapSquare wrapText="largest"/>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1"/>
                  <a:srcRect l="-44" t="-80" r="-44" b="-80"/>
                  <a:stretch>
                    <a:fillRect/>
                  </a:stretch>
                </pic:blipFill>
                <pic:spPr bwMode="auto">
                  <a:xfrm>
                    <a:off x="0" y="0"/>
                    <a:ext cx="1638300" cy="904875"/>
                  </a:xfrm>
                  <a:prstGeom prst="rect">
                    <a:avLst/>
                  </a:prstGeom>
                </pic:spPr>
              </pic:pic>
            </a:graphicData>
          </a:graphic>
        </wp:anchor>
      </w:drawing>
    </w:r>
  </w:p>
</w:hdr>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commentoCarattere" w:customStyle="1">
    <w:name w:val="Testo commento Carattere"/>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TestofumettoCarattere" w:customStyle="1">
    <w:name w:val="Testo fumetto Carattere"/>
    <w:basedOn w:val="DefaultParagraphFont"/>
    <w:link w:val="BalloonText"/>
    <w:uiPriority w:val="99"/>
    <w:semiHidden/>
    <w:qFormat/>
    <w:rsid w:val="00551558"/>
    <w:rPr>
      <w:rFonts w:ascii="Tahoma" w:hAnsi="Tahoma" w:cs="Tahoma"/>
      <w:sz w:val="16"/>
      <w:szCs w:val="16"/>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NormalWeb">
    <w:name w:val="Normal (Web)"/>
    <w:basedOn w:val="Normal"/>
    <w:uiPriority w:val="99"/>
    <w:semiHidden/>
    <w:unhideWhenUsed/>
    <w:qFormat/>
    <w:rsid w:val="00484736"/>
    <w:pPr>
      <w:spacing w:lineRule="auto" w:line="240" w:beforeAutospacing="1" w:afterAutospacing="1"/>
    </w:pPr>
    <w:rPr>
      <w:rFonts w:ascii="Times New Roman" w:hAnsi="Times New Roman" w:eastAsia="Times New Roman" w:cs="Times New Roman"/>
      <w:sz w:val="24"/>
      <w:szCs w:val="24"/>
      <w:lang w:eastAsia="it-IT"/>
    </w:rPr>
  </w:style>
  <w:style w:type="paragraph" w:styleId="ListParagraph">
    <w:name w:val="List Paragraph"/>
    <w:basedOn w:val="Normal"/>
    <w:uiPriority w:val="34"/>
    <w:qFormat/>
    <w:rsid w:val="00484736"/>
    <w:pPr>
      <w:spacing w:before="0" w:after="200"/>
      <w:ind w:left="720" w:hanging="0"/>
      <w:contextualSpacing/>
    </w:pPr>
    <w:rPr/>
  </w:style>
  <w:style w:type="paragraph" w:styleId="Annotationtext">
    <w:name w:val="annotation text"/>
    <w:basedOn w:val="Normal"/>
    <w:link w:val="TestocommentoCarattere"/>
    <w:uiPriority w:val="99"/>
    <w:semiHidden/>
    <w:unhideWhenUsed/>
    <w:qFormat/>
    <w:pPr>
      <w:spacing w:lineRule="auto" w:line="240"/>
    </w:pPr>
    <w:rPr>
      <w:sz w:val="20"/>
      <w:szCs w:val="20"/>
    </w:rPr>
  </w:style>
  <w:style w:type="paragraph" w:styleId="BalloonText">
    <w:name w:val="Balloon Text"/>
    <w:basedOn w:val="Normal"/>
    <w:link w:val="TestofumettoCarattere"/>
    <w:uiPriority w:val="99"/>
    <w:semiHidden/>
    <w:unhideWhenUsed/>
    <w:qFormat/>
    <w:rsid w:val="00551558"/>
    <w:pPr>
      <w:spacing w:lineRule="auto" w:line="240" w:before="0" w:after="0"/>
    </w:pPr>
    <w:rPr>
      <w:rFonts w:ascii="Tahoma" w:hAnsi="Tahoma" w:cs="Tahoma"/>
      <w:sz w:val="16"/>
      <w:szCs w:val="16"/>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Intestazione">
    <w:name w:val="Header"/>
    <w:basedOn w:val="Intestazioneepidipagina"/>
    <w:pPr>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LibreOffice/7.5.8.2$Windows_X86_64 LibreOffice_project/f718d63693263970429a68f568db6046aaa9df01</Application>
  <AppVersion>15.0000</AppVersion>
  <Pages>7</Pages>
  <Words>2211</Words>
  <Characters>13869</Characters>
  <CharactersWithSpaces>16151</CharactersWithSpaces>
  <Paragraphs>68</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2025-10-21T12:46:00Z</dcterms:created>
  <dc:creator>VIVIANA BONANTE</dc:creator>
  <dc:description/>
  <dc:language>it-IT</dc:language>
  <cp:lastModifiedBy/>
  <dcterms:modified xsi:type="dcterms:W3CDTF">2025-10-27T13:57:58Z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