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ind w:left="0" w:hanging="2"/>
        <w:jc w:val="right"/>
        <w:rPr>
          <w:rFonts w:ascii="Arial" w:hAnsi="Arial" w:eastAsia="Times New Roman" w:cs="Times New Roman"/>
          <w:b/>
          <w:bCs/>
          <w:position w:val="0"/>
          <w:sz w:val="24"/>
          <w:sz w:val="24"/>
          <w:szCs w:val="24"/>
          <w:vertAlign w:val="baseline"/>
        </w:rPr>
      </w:pPr>
      <w:r>
        <w:rPr>
          <w:rFonts w:eastAsia="Times New Roman" w:cs="Times New Roman" w:ascii="Arial" w:hAnsi="Arial"/>
          <w:b/>
          <w:bCs/>
          <w:position w:val="0"/>
          <w:sz w:val="24"/>
          <w:sz w:val="24"/>
          <w:szCs w:val="24"/>
          <w:vertAlign w:val="baseline"/>
        </w:rPr>
        <w:t>ALLEGATO 1</w:t>
      </w:r>
    </w:p>
    <w:p>
      <w:pPr>
        <w:pStyle w:val="Normal"/>
        <w:tabs>
          <w:tab w:val="left" w:pos="720" w:leader="none"/>
        </w:tabs>
        <w:ind w:left="0" w:hanging="2"/>
        <w:jc w:val="right"/>
        <w:rPr>
          <w:rFonts w:ascii="Arial" w:hAnsi="Arial" w:eastAsia="Times New Roman" w:cs="Times New Roman"/>
          <w:position w:val="0"/>
          <w:sz w:val="24"/>
          <w:sz w:val="24"/>
          <w:szCs w:val="24"/>
          <w:vertAlign w:val="baseline"/>
        </w:rPr>
      </w:pPr>
      <w:r>
        <w:rPr>
          <w:rFonts w:eastAsia="Times New Roman" w:cs="Times New Roman" w:ascii="Arial" w:hAnsi="Arial"/>
          <w:position w:val="0"/>
          <w:sz w:val="24"/>
          <w:sz w:val="24"/>
          <w:szCs w:val="24"/>
          <w:vertAlign w:val="baseline"/>
        </w:rPr>
      </w:r>
    </w:p>
    <w:p>
      <w:pPr>
        <w:pStyle w:val="Normal"/>
        <w:tabs>
          <w:tab w:val="left" w:pos="720" w:leader="none"/>
        </w:tabs>
        <w:ind w:left="0" w:hanging="2"/>
        <w:jc w:val="right"/>
        <w:rPr>
          <w:rFonts w:ascii="Arial" w:hAnsi="Arial" w:eastAsia="Times New Roman" w:cs="Times New Roman"/>
          <w:position w:val="0"/>
          <w:sz w:val="24"/>
          <w:sz w:val="24"/>
          <w:szCs w:val="24"/>
          <w:vertAlign w:val="baseline"/>
        </w:rPr>
      </w:pPr>
      <w:r>
        <w:rPr>
          <w:rFonts w:eastAsia="Times New Roman" w:cs="Times New Roman" w:ascii="Arial" w:hAnsi="Arial"/>
          <w:position w:val="0"/>
          <w:sz w:val="24"/>
          <w:sz w:val="24"/>
          <w:szCs w:val="24"/>
          <w:vertAlign w:val="baseline"/>
        </w:rPr>
      </w:r>
    </w:p>
    <w:p>
      <w:pPr>
        <w:pStyle w:val="Normal"/>
        <w:tabs>
          <w:tab w:val="left" w:pos="720" w:leader="none"/>
        </w:tabs>
        <w:ind w:left="0" w:hanging="2"/>
        <w:jc w:val="right"/>
        <w:rPr>
          <w:rFonts w:ascii="Arial" w:hAnsi="Arial" w:eastAsia="Times New Roman" w:cs="Times New Roman"/>
          <w:position w:val="0"/>
          <w:sz w:val="24"/>
          <w:sz w:val="24"/>
          <w:szCs w:val="24"/>
          <w:vertAlign w:val="baseline"/>
        </w:rPr>
      </w:pPr>
      <w:r>
        <w:rPr>
          <w:rFonts w:eastAsia="Times New Roman" w:cs="Times New Roman" w:ascii="Arial" w:hAnsi="Arial"/>
          <w:position w:val="0"/>
          <w:sz w:val="24"/>
          <w:sz w:val="24"/>
          <w:szCs w:val="24"/>
          <w:vertAlign w:val="baseline"/>
        </w:rPr>
      </w:r>
    </w:p>
    <w:p>
      <w:pPr>
        <w:pStyle w:val="Normal"/>
        <w:tabs>
          <w:tab w:val="left" w:pos="720" w:leader="none"/>
        </w:tabs>
        <w:ind w:left="0" w:hanging="2"/>
        <w:jc w:val="right"/>
        <w:rPr>
          <w:rFonts w:ascii="Arial" w:hAnsi="Arial" w:eastAsia="Times New Roman" w:cs="Times New Roman"/>
          <w:position w:val="0"/>
          <w:sz w:val="24"/>
          <w:sz w:val="24"/>
          <w:szCs w:val="24"/>
          <w:vertAlign w:val="baseline"/>
        </w:rPr>
      </w:pPr>
      <w:r>
        <w:rPr>
          <w:rFonts w:eastAsia="Times New Roman" w:cs="Times New Roman" w:ascii="Arial" w:hAnsi="Arial"/>
          <w:position w:val="0"/>
          <w:sz w:val="24"/>
          <w:sz w:val="24"/>
          <w:szCs w:val="24"/>
          <w:vertAlign w:val="baseline"/>
        </w:rPr>
        <w:t>Spett. COMUNE DI TORINO - CIRCOSCRIZIONE 5</w:t>
      </w:r>
    </w:p>
    <w:p>
      <w:pPr>
        <w:pStyle w:val="Normal"/>
        <w:keepNext w:val="true"/>
        <w:tabs>
          <w:tab w:val="clear" w:pos="720"/>
          <w:tab w:val="left" w:pos="5387" w:leader="none"/>
        </w:tabs>
        <w:spacing w:lineRule="auto" w:line="276"/>
        <w:jc w:val="center"/>
        <w:rPr>
          <w:rFonts w:ascii="Arial" w:hAnsi="Arial" w:eastAsia="Arial" w:cs="Arial"/>
          <w:position w:val="0"/>
          <w:sz w:val="24"/>
          <w:sz w:val="24"/>
          <w:szCs w:val="24"/>
          <w:vertAlign w:val="baseline"/>
        </w:rPr>
      </w:pPr>
      <w:r>
        <w:rPr>
          <w:rFonts w:eastAsia="Arial" w:cs="Arial" w:ascii="Arial" w:hAnsi="Arial"/>
          <w:position w:val="0"/>
          <w:sz w:val="24"/>
          <w:sz w:val="24"/>
          <w:szCs w:val="24"/>
          <w:vertAlign w:val="baseline"/>
        </w:rPr>
      </w:r>
    </w:p>
    <w:p>
      <w:pPr>
        <w:pStyle w:val="Normal"/>
        <w:tabs>
          <w:tab w:val="left" w:pos="720" w:leader="none"/>
        </w:tabs>
        <w:ind w:left="0" w:hanging="2"/>
        <w:jc w:val="center"/>
        <w:rPr>
          <w:position w:val="0"/>
          <w:sz w:val="20"/>
          <w:sz w:val="20"/>
          <w:vertAlign w:val="baseline"/>
        </w:rPr>
      </w:pPr>
      <w:r>
        <w:rPr>
          <w:rFonts w:eastAsia="Arial" w:cs="Arial" w:ascii="Arial" w:hAnsi="Arial"/>
          <w:b/>
          <w:position w:val="0"/>
          <w:sz w:val="24"/>
          <w:sz w:val="24"/>
          <w:szCs w:val="24"/>
          <w:vertAlign w:val="baseline"/>
        </w:rPr>
        <w:t>DICHIARAZIONE SOSTITUTIVA DELL’ATTO DI NOTORIETA’</w:t>
      </w:r>
    </w:p>
    <w:p>
      <w:pPr>
        <w:pStyle w:val="Normal"/>
        <w:keepNext w:val="true"/>
        <w:tabs>
          <w:tab w:val="clear" w:pos="720"/>
          <w:tab w:val="left" w:pos="7560" w:leader="none"/>
        </w:tabs>
        <w:spacing w:lineRule="auto" w:line="276"/>
        <w:ind w:left="0" w:hanging="2"/>
        <w:jc w:val="center"/>
        <w:rPr>
          <w:position w:val="0"/>
          <w:sz w:val="20"/>
          <w:sz w:val="20"/>
          <w:vertAlign w:val="baseline"/>
        </w:rPr>
      </w:pPr>
      <w:r>
        <w:rPr>
          <w:rFonts w:eastAsia="Arial" w:cs="Arial" w:ascii="Arial" w:hAnsi="Arial"/>
          <w:b/>
          <w:color w:val="000000"/>
          <w:position w:val="0"/>
          <w:sz w:val="24"/>
          <w:sz w:val="24"/>
          <w:szCs w:val="24"/>
          <w:vertAlign w:val="baseline"/>
        </w:rPr>
        <w:t>(ai sensi del D.P.R. 445/2000, artt. 46 e 47)</w:t>
      </w:r>
      <w:r>
        <w:rPr>
          <w:rFonts w:eastAsia="Arial" w:cs="Arial" w:ascii="Arial" w:hAnsi="Arial"/>
          <w:color w:val="000000"/>
          <w:position w:val="0"/>
          <w:sz w:val="24"/>
          <w:sz w:val="24"/>
          <w:szCs w:val="24"/>
          <w:vertAlign w:val="baseline"/>
        </w:rPr>
        <w:t xml:space="preserve"> </w:t>
      </w:r>
    </w:p>
    <w:p>
      <w:pPr>
        <w:pStyle w:val="Normal"/>
        <w:tabs>
          <w:tab w:val="clear" w:pos="720"/>
          <w:tab w:val="left" w:pos="7560" w:leader="none"/>
        </w:tabs>
        <w:spacing w:lineRule="auto" w:line="276"/>
        <w:ind w:left="0" w:hanging="2"/>
        <w:jc w:val="center"/>
        <w:rPr>
          <w:position w:val="0"/>
          <w:sz w:val="20"/>
          <w:sz w:val="20"/>
          <w:vertAlign w:val="baseline"/>
        </w:rPr>
      </w:pPr>
      <w:r>
        <w:rPr>
          <w:position w:val="0"/>
          <w:sz w:val="20"/>
          <w:sz w:val="20"/>
          <w:vertAlign w:val="baseline"/>
        </w:rPr>
      </w:r>
    </w:p>
    <w:p>
      <w:pPr>
        <w:pStyle w:val="Normal"/>
        <w:keepNext w:val="true"/>
        <w:spacing w:lineRule="auto" w:line="240"/>
        <w:jc w:val="both"/>
        <w:rPr>
          <w:position w:val="0"/>
          <w:sz w:val="20"/>
          <w:sz w:val="20"/>
          <w:vertAlign w:val="baseline"/>
        </w:rPr>
      </w:pPr>
      <w:r>
        <w:rPr>
          <w:rFonts w:eastAsia="Arial" w:cs="Arial" w:ascii="Arial" w:hAnsi="Arial"/>
          <w:b/>
          <w:color w:val="000000"/>
          <w:position w:val="0"/>
          <w:sz w:val="24"/>
          <w:sz w:val="24"/>
          <w:szCs w:val="24"/>
          <w:shd w:fill="auto" w:val="clear"/>
          <w:vertAlign w:val="baseline"/>
        </w:rPr>
        <w:t>MANIFESTAZIONE DI INTERESSE A PARTECIPARE ALL’INDAGINE PRELIMINARE DI MERCATO AVENTE AD OGGETTO IL SERVIZIO DI MANUTENZIONE ORDINARIA AREE VERDI, LUDICHE E ARREDO URBANO SUL TERRITORIO DELLA CIRCOSCRIZIONE 5 – ANNI 2026-2027</w:t>
      </w:r>
    </w:p>
    <w:p>
      <w:pPr>
        <w:pStyle w:val="Normal"/>
        <w:spacing w:lineRule="auto" w:line="240"/>
        <w:jc w:val="both"/>
        <w:rPr>
          <w:rFonts w:ascii="Arial" w:hAnsi="Arial" w:eastAsia="Arial" w:cs="Arial"/>
          <w:b/>
          <w:color w:val="000000"/>
          <w:position w:val="0"/>
          <w:sz w:val="24"/>
          <w:sz w:val="24"/>
          <w:szCs w:val="24"/>
          <w:vertAlign w:val="baseline"/>
        </w:rPr>
      </w:pPr>
      <w:r>
        <w:rPr>
          <w:rFonts w:eastAsia="Arial" w:cs="Arial" w:ascii="Arial" w:hAnsi="Arial"/>
          <w:b/>
          <w:color w:val="000000"/>
          <w:position w:val="0"/>
          <w:sz w:val="24"/>
          <w:sz w:val="24"/>
          <w:szCs w:val="24"/>
          <w:vertAlign w:val="baseline"/>
        </w:rPr>
      </w:r>
    </w:p>
    <w:p>
      <w:pPr>
        <w:pStyle w:val="Normal"/>
        <w:spacing w:lineRule="auto" w:line="240"/>
        <w:jc w:val="both"/>
        <w:rPr>
          <w:rFonts w:ascii="Arial" w:hAnsi="Arial" w:eastAsia="Arial" w:cs="Arial"/>
          <w:b/>
          <w:color w:val="000000"/>
          <w:position w:val="0"/>
          <w:sz w:val="24"/>
          <w:sz w:val="24"/>
          <w:szCs w:val="24"/>
          <w:vertAlign w:val="baseline"/>
        </w:rPr>
      </w:pPr>
      <w:r>
        <w:rPr>
          <w:rFonts w:eastAsia="Arial" w:cs="Arial" w:ascii="Arial" w:hAnsi="Arial"/>
          <w:b/>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Il sottoscritto</w:t>
        <w:tab/>
        <w:t>……………………………………………………………………………………….</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nato il……………………….. a ……...…………………………………………………………….</w:t>
      </w:r>
    </w:p>
    <w:p>
      <w:pPr>
        <w:pStyle w:val="Normal"/>
        <w:widowControl w:val="false"/>
        <w:spacing w:lineRule="auto" w:line="276"/>
        <w:ind w:left="0" w:hanging="2"/>
        <w:jc w:val="both"/>
        <w:rPr>
          <w:rFonts w:eastAsia="Arial" w:cs="Arial"/>
          <w:color w:val="000000"/>
        </w:rPr>
      </w:pPr>
      <w:r>
        <w:rPr>
          <w:rFonts w:eastAsia="Arial" w:cs="Arial"/>
          <w:color w:val="000000"/>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residente in………………………………….……………………………………………………...</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Codice fiscale……………………………………………….……………………………………...</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in qualità di………………………………….……………………………………………………..</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dell’Operatore Economico ……………………………….………………………………………..</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codice fiscale…………………………../ p.IVA  ………………………………………………….</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con sede in…………………...…………………………….……………………………………….</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Numero cell. ……………………………….. pec………………………………………………….</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Mail ………………………………………………………………………………………………….</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Matricola INPS  ……………………….Sede zonale di competenza…………………………..</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Codice INAIL …………………………….. PAT INAIL……………………………………..</w:t>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i/>
          <w:color w:val="000000"/>
          <w:position w:val="0"/>
          <w:sz w:val="24"/>
          <w:sz w:val="24"/>
          <w:szCs w:val="24"/>
          <w:vertAlign w:val="baseline"/>
        </w:rPr>
        <w:t>(In caso di più posizioni INPS e INAIL occorrerà indicare quella in cui ha sede l’attività principale dell’operatore economico)</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Sede zonale di competenza Agenzia delle Entrate ……………………………………………..</w:t>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 xml:space="preserve">Indicazione della sede principale, indirizzo e n. telefonico, per le funzioni di collocamento, per verificare l’ottemperanza alla disciplina del lavoro dei disabili: </w:t>
      </w:r>
    </w:p>
    <w:p>
      <w:pPr>
        <w:pStyle w:val="Normal"/>
        <w:widowControl w:val="false"/>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w:t>
      </w:r>
    </w:p>
    <w:p>
      <w:pPr>
        <w:pStyle w:val="Normal"/>
        <w:widowControl w:val="false"/>
        <w:spacing w:lineRule="auto" w:line="276"/>
        <w:ind w:left="0" w:hanging="2"/>
        <w:jc w:val="both"/>
        <w:rPr>
          <w:rFonts w:eastAsia="Arial" w:cs="Arial"/>
          <w:color w:val="000000"/>
        </w:rPr>
      </w:pPr>
      <w:r>
        <w:rPr>
          <w:rFonts w:eastAsia="Arial" w:cs="Arial"/>
          <w:color w:val="000000"/>
        </w:rPr>
      </w:r>
    </w:p>
    <w:p>
      <w:pPr>
        <w:pStyle w:val="Normal"/>
        <w:widowControl w:val="false"/>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spacing w:lineRule="auto" w:line="276"/>
        <w:ind w:left="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A tal fine ai sensi degli articoli 46 e 47 del D.P.R. 445/2000, consapevole delle sanzioni penali previste dall'articolo 76 del D.P.R. 445/2000, per le ipotesi di falsità in atti e dichiarazioni mendaci ivi indicate</w:t>
      </w:r>
    </w:p>
    <w:p>
      <w:pPr>
        <w:pStyle w:val="Normal"/>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tabs>
          <w:tab w:val="clear" w:pos="720"/>
          <w:tab w:val="left" w:pos="5580" w:leader="none"/>
        </w:tabs>
        <w:spacing w:lineRule="auto" w:line="240"/>
        <w:rPr>
          <w:rFonts w:ascii="Arial" w:hAnsi="Arial" w:eastAsia="Arial" w:cs="Arial"/>
        </w:rPr>
      </w:pPr>
      <w:r>
        <w:rPr>
          <w:rFonts w:eastAsia="Arial" w:cs="Arial" w:ascii="Arial" w:hAnsi="Arial"/>
        </w:rPr>
      </w:r>
    </w:p>
    <w:p>
      <w:pPr>
        <w:pStyle w:val="Normal"/>
        <w:tabs>
          <w:tab w:val="clear" w:pos="720"/>
          <w:tab w:val="left" w:pos="5580" w:leader="none"/>
        </w:tabs>
        <w:spacing w:lineRule="auto" w:line="240"/>
        <w:jc w:val="center"/>
        <w:rPr>
          <w:rFonts w:ascii="Arial" w:hAnsi="Arial" w:eastAsia="Arial" w:cs="Arial"/>
          <w:b/>
          <w:bCs/>
          <w:position w:val="0"/>
          <w:sz w:val="24"/>
          <w:sz w:val="24"/>
          <w:szCs w:val="24"/>
          <w:vertAlign w:val="baseline"/>
        </w:rPr>
      </w:pPr>
      <w:r>
        <w:rPr>
          <w:rFonts w:eastAsia="Arial" w:cs="Arial" w:ascii="Arial" w:hAnsi="Arial"/>
          <w:b/>
          <w:bCs/>
          <w:position w:val="0"/>
          <w:sz w:val="24"/>
          <w:sz w:val="24"/>
          <w:szCs w:val="24"/>
          <w:vertAlign w:val="baseline"/>
        </w:rPr>
        <w:t>D I C H I A R A</w:t>
      </w:r>
    </w:p>
    <w:p>
      <w:pPr>
        <w:pStyle w:val="Normal"/>
        <w:tabs>
          <w:tab w:val="clear" w:pos="720"/>
          <w:tab w:val="left" w:pos="5580" w:leader="none"/>
        </w:tabs>
        <w:spacing w:lineRule="auto" w:line="240"/>
        <w:rPr>
          <w:rFonts w:ascii="Arial" w:hAnsi="Arial" w:eastAsia="Arial" w:cs="Arial"/>
        </w:rPr>
      </w:pPr>
      <w:r>
        <w:rPr>
          <w:rFonts w:eastAsia="Arial" w:cs="Arial" w:ascii="Arial" w:hAnsi="Arial"/>
        </w:rPr>
      </w:r>
    </w:p>
    <w:p>
      <w:pPr>
        <w:pStyle w:val="Normal"/>
        <w:tabs>
          <w:tab w:val="clear" w:pos="720"/>
          <w:tab w:val="left" w:pos="643" w:leader="none"/>
        </w:tabs>
        <w:spacing w:lineRule="auto" w:line="24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1"/>
        <w:numPr>
          <w:ilvl w:val="0"/>
          <w:numId w:val="1"/>
        </w:numPr>
        <w:jc w:val="both"/>
        <w:rPr/>
      </w:pPr>
      <w:r>
        <w:rPr>
          <w:rFonts w:eastAsia="Arial" w:cs="Arial" w:ascii="Arial" w:hAnsi="Arial"/>
          <w:b/>
          <w:bCs/>
          <w:color w:val="000000"/>
        </w:rPr>
        <w:t>di conoscere ed accettare</w:t>
      </w:r>
      <w:r>
        <w:rPr>
          <w:rFonts w:eastAsia="Arial" w:cs="Arial" w:ascii="Arial" w:hAnsi="Arial"/>
          <w:color w:val="000000"/>
        </w:rPr>
        <w:t xml:space="preserve"> tutte le condizioni previste nell’avviso esplorativo e nei relativi </w:t>
      </w:r>
      <w:r>
        <w:rPr>
          <w:rFonts w:eastAsia="Arial" w:cs="Arial" w:ascii="Arial" w:hAnsi="Arial"/>
        </w:rPr>
        <w:t>documenti allegati</w:t>
      </w:r>
      <w:r>
        <w:rPr>
          <w:rFonts w:eastAsia="Arial" w:cs="Arial" w:ascii="Arial" w:hAnsi="Arial"/>
          <w:color w:val="000000"/>
        </w:rPr>
        <w:t xml:space="preserve"> e di accettare espressamente le condizioni di cui agli articoli relativi a: subappalto, penali, risoluzione, responsabilità danni ed eventuale assicurazione per danni a terzi (clausola risolutiva espressa);</w:t>
      </w:r>
    </w:p>
    <w:p>
      <w:pPr>
        <w:pStyle w:val="Normal1"/>
        <w:numPr>
          <w:ilvl w:val="0"/>
          <w:numId w:val="1"/>
        </w:numPr>
        <w:jc w:val="both"/>
        <w:rPr/>
      </w:pPr>
      <w:r>
        <w:rPr>
          <w:rFonts w:eastAsia="Arial" w:cs="Arial" w:ascii="Arial" w:hAnsi="Arial"/>
          <w:b/>
          <w:bCs/>
          <w:color w:val="000000"/>
        </w:rPr>
        <w:t>di</w:t>
      </w:r>
      <w:r>
        <w:rPr>
          <w:rFonts w:eastAsia="Arial" w:cs="Arial" w:ascii="Arial" w:hAnsi="Arial"/>
          <w:color w:val="000000"/>
        </w:rPr>
        <w:t xml:space="preserve"> </w:t>
      </w:r>
      <w:r>
        <w:rPr>
          <w:rFonts w:eastAsia="Arial" w:cs="Arial" w:ascii="Arial" w:hAnsi="Arial"/>
          <w:b/>
          <w:bCs/>
          <w:color w:val="000000"/>
        </w:rPr>
        <w:t>garantire</w:t>
      </w:r>
      <w:r>
        <w:rPr>
          <w:rFonts w:eastAsia="Arial" w:cs="Arial" w:ascii="Arial" w:hAnsi="Arial"/>
          <w:color w:val="000000"/>
        </w:rPr>
        <w:t xml:space="preserve"> la stabilità occupazionale del personale impiegato e l’applicazione dei contratti collettivi nazionali e territoriali di settore, tenendo conto, in relazione all’oggetto dell’affidamento e delle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dell’affidamento svolta dall’operatore econoomico anche in maniera prevalente (</w:t>
      </w:r>
      <w:r>
        <w:rPr>
          <w:rFonts w:eastAsia="Arial" w:cs="Arial" w:ascii="Arial" w:hAnsi="Arial"/>
          <w:b/>
          <w:bCs/>
          <w:color w:val="000000"/>
        </w:rPr>
        <w:t>art.102 D.Lgs. 36/2023</w:t>
      </w:r>
      <w:r>
        <w:rPr>
          <w:rFonts w:eastAsia="Arial" w:cs="Arial" w:ascii="Arial" w:hAnsi="Arial"/>
          <w:color w:val="000000"/>
        </w:rPr>
        <w:t>);</w:t>
      </w:r>
    </w:p>
    <w:p>
      <w:pPr>
        <w:pStyle w:val="Normal1"/>
        <w:numPr>
          <w:ilvl w:val="0"/>
          <w:numId w:val="1"/>
        </w:numPr>
        <w:jc w:val="both"/>
        <w:rPr>
          <w:highlight w:val="none"/>
          <w:shd w:fill="auto" w:val="clear"/>
        </w:rPr>
      </w:pPr>
      <w:r>
        <w:rPr>
          <w:rFonts w:eastAsia="Arial" w:cs="Arial" w:ascii="Arial" w:hAnsi="Arial"/>
          <w:b/>
          <w:bCs/>
          <w:color w:val="000000"/>
          <w:shd w:fill="auto" w:val="clear"/>
        </w:rPr>
        <w:t>di garantire</w:t>
      </w:r>
      <w:r>
        <w:rPr>
          <w:rFonts w:eastAsia="Arial" w:cs="Arial" w:ascii="Arial" w:hAnsi="Arial"/>
          <w:color w:val="000000"/>
          <w:shd w:fill="auto" w:val="clear"/>
        </w:rPr>
        <w:t xml:space="preserve"> le pari opportunità generazionali, di genere e di inclusione lavorativa per le persone con disabilità o svantaggiate (art. 57 D.Lgs. 36/2023 e s.m.i.);</w:t>
      </w:r>
    </w:p>
    <w:p>
      <w:pPr>
        <w:pStyle w:val="Normal1"/>
        <w:numPr>
          <w:ilvl w:val="0"/>
          <w:numId w:val="1"/>
        </w:numPr>
        <w:jc w:val="both"/>
        <w:rPr>
          <w:shd w:fill="FFFF00" w:val="clear"/>
        </w:rPr>
      </w:pPr>
      <w:r>
        <w:rPr>
          <w:rFonts w:eastAsia="Arial" w:cs="Arial" w:ascii="Arial" w:hAnsi="Arial"/>
          <w:b/>
          <w:bCs/>
          <w:color w:val="000000"/>
        </w:rPr>
        <w:t>di essere in regola</w:t>
      </w:r>
      <w:r>
        <w:rPr>
          <w:rFonts w:eastAsia="Arial" w:cs="Arial" w:ascii="Arial" w:hAnsi="Arial"/>
          <w:color w:val="000000"/>
        </w:rPr>
        <w:t xml:space="preserve"> con il versamento dei contributi  previdenziali e assistenziali (INPS/INAIL);</w:t>
      </w:r>
    </w:p>
    <w:p>
      <w:pPr>
        <w:pStyle w:val="Normal1"/>
        <w:numPr>
          <w:ilvl w:val="0"/>
          <w:numId w:val="1"/>
        </w:numPr>
        <w:jc w:val="both"/>
        <w:rPr>
          <w:highlight w:val="none"/>
          <w:shd w:fill="auto" w:val="clear"/>
        </w:rPr>
      </w:pPr>
      <w:r>
        <w:rPr>
          <w:rFonts w:eastAsia="Arial" w:cs="Arial" w:ascii="Arial" w:hAnsi="Arial"/>
          <w:b/>
          <w:bCs/>
          <w:color w:val="000000"/>
          <w:shd w:fill="auto" w:val="clear"/>
        </w:rPr>
        <w:t>di garantire</w:t>
      </w:r>
      <w:r>
        <w:rPr>
          <w:rFonts w:eastAsia="Arial" w:cs="Arial" w:ascii="Arial" w:hAnsi="Arial"/>
          <w:color w:val="000000"/>
          <w:shd w:fill="auto" w:val="clear"/>
        </w:rPr>
        <w:t xml:space="preserve"> le stesse tutele economiche e normative per i lavoratori in subappalto rispetto ai dipendenti </w:t>
      </w:r>
      <w:r>
        <w:rPr>
          <w:rFonts w:eastAsia="Arial" w:cs="Arial" w:ascii="Arial" w:hAnsi="Arial"/>
          <w:color w:val="000000"/>
          <w:shd w:fill="auto" w:val="clear"/>
        </w:rPr>
        <w:t>dell’operatore economico aggiudicatario</w:t>
      </w:r>
      <w:r>
        <w:rPr>
          <w:rFonts w:eastAsia="Arial" w:cs="Arial" w:ascii="Arial" w:hAnsi="Arial"/>
          <w:color w:val="000000"/>
          <w:shd w:fill="auto" w:val="clear"/>
        </w:rPr>
        <w:t xml:space="preserve"> e contro il lavoro irregolare;</w:t>
      </w:r>
    </w:p>
    <w:p>
      <w:pPr>
        <w:pStyle w:val="Normal1"/>
        <w:tabs>
          <w:tab w:val="clear" w:pos="720"/>
          <w:tab w:val="left" w:pos="873" w:leader="none"/>
        </w:tabs>
        <w:ind w:left="871" w:hanging="0"/>
        <w:jc w:val="both"/>
        <w:rPr>
          <w:b w:val="false"/>
          <w:bCs w:val="false"/>
        </w:rPr>
      </w:pPr>
      <w:r>
        <w:rPr>
          <w:rFonts w:eastAsia="Arial" w:cs="Arial" w:ascii="Arial" w:hAnsi="Arial"/>
          <w:b w:val="false"/>
          <w:bCs w:val="false"/>
          <w:i/>
          <w:iCs/>
          <w:color w:val="000000"/>
        </w:rPr>
        <w:t>(scegliere una delle due opzioni di seguito)</w:t>
      </w:r>
    </w:p>
    <w:p>
      <w:pPr>
        <w:pStyle w:val="Normal1"/>
        <w:numPr>
          <w:ilvl w:val="0"/>
          <w:numId w:val="0"/>
        </w:numPr>
        <w:tabs>
          <w:tab w:val="clear" w:pos="720"/>
          <w:tab w:val="left" w:pos="1046" w:leader="none"/>
        </w:tabs>
        <w:spacing w:lineRule="auto" w:line="276" w:before="34" w:after="0"/>
        <w:ind w:left="872" w:right="208" w:hanging="0"/>
        <w:jc w:val="both"/>
        <w:rPr>
          <w:rFonts w:ascii="Arial" w:hAnsi="Arial" w:eastAsia="Arial" w:cs="Arial"/>
          <w:color w:val="000000"/>
        </w:rPr>
      </w:pPr>
      <w:r>
        <w:rPr>
          <w:rFonts w:eastAsia="Arial" w:cs="Arial" w:ascii="Arial" w:hAnsi="Arial"/>
          <w:b/>
          <w:bCs/>
          <w:color w:val="000000"/>
        </w:rPr>
        <w:t xml:space="preserve">☐ </w:t>
      </w:r>
      <w:r>
        <w:rPr>
          <w:rFonts w:eastAsia="Arial" w:cs="Arial" w:ascii="Arial" w:hAnsi="Arial"/>
          <w:b/>
          <w:bCs/>
          <w:color w:val="000000"/>
        </w:rPr>
        <w:t>di impegnarsi</w:t>
      </w:r>
      <w:r>
        <w:rPr>
          <w:rFonts w:eastAsia="Arial" w:cs="Arial" w:ascii="Arial" w:hAnsi="Arial"/>
          <w:color w:val="000000"/>
        </w:rPr>
        <w:t xml:space="preserve"> ad applicare il contratto collettivo nazionale e territoriale indicato</w:t>
      </w:r>
      <w:r>
        <w:rPr>
          <w:rFonts w:eastAsia="Arial" w:cs="Arial" w:ascii="Arial" w:hAnsi="Arial"/>
          <w:color w:val="000000"/>
          <w:shd w:fill="auto" w:val="clear"/>
        </w:rPr>
        <w:t xml:space="preserve"> nell’avviso dell’indagine di mercato e nel capitolato tecnico nell’esecuzione delle prestazioni oggetto del contratto per tutta la sua durata;</w:t>
      </w:r>
    </w:p>
    <w:p>
      <w:pPr>
        <w:pStyle w:val="Normal1"/>
        <w:numPr>
          <w:ilvl w:val="0"/>
          <w:numId w:val="0"/>
        </w:numPr>
        <w:tabs>
          <w:tab w:val="clear" w:pos="720"/>
          <w:tab w:val="left" w:pos="1034" w:leader="none"/>
        </w:tabs>
        <w:spacing w:lineRule="auto" w:line="276"/>
        <w:ind w:left="860" w:right="205" w:hanging="0"/>
        <w:jc w:val="both"/>
        <w:rPr>
          <w:rFonts w:ascii="Arial" w:hAnsi="Arial" w:eastAsia="Arial" w:cs="Arial"/>
          <w:color w:val="000000"/>
        </w:rPr>
      </w:pPr>
      <w:r>
        <w:rPr>
          <w:rFonts w:eastAsia="Arial" w:cs="Arial" w:ascii="Arial" w:hAnsi="Arial"/>
          <w:b/>
          <w:bCs/>
          <w:color w:val="000000"/>
        </w:rPr>
        <w:t xml:space="preserve">☐ </w:t>
      </w:r>
      <w:r>
        <w:rPr>
          <w:rFonts w:eastAsia="Arial" w:cs="Arial" w:ascii="Arial" w:hAnsi="Arial"/>
          <w:b/>
          <w:bCs/>
          <w:color w:val="000000"/>
        </w:rPr>
        <w:t>di applicare</w:t>
      </w:r>
      <w:r>
        <w:rPr>
          <w:rFonts w:eastAsia="Arial" w:cs="Arial" w:ascii="Arial" w:hAnsi="Arial"/>
          <w:color w:val="000000"/>
        </w:rPr>
        <w:t xml:space="preserve"> il seguente CCNL: ……….…</w:t>
      </w:r>
      <w:r>
        <w:rPr>
          <w:rFonts w:eastAsia="Arial" w:cs="Arial" w:ascii="Arial" w:hAnsi="Arial"/>
          <w:b w:val="false"/>
          <w:bCs w:val="false"/>
          <w:i/>
          <w:iCs/>
          <w:color w:val="000000"/>
        </w:rPr>
        <w:t>(completare)</w:t>
      </w:r>
      <w:r>
        <w:rPr>
          <w:rFonts w:eastAsia="Arial" w:cs="Arial" w:ascii="Arial" w:hAnsi="Arial"/>
          <w:color w:val="000000"/>
        </w:rPr>
        <w:t xml:space="preserve"> e di </w:t>
      </w:r>
      <w:r>
        <w:rPr>
          <w:rFonts w:eastAsia="Arial" w:cs="Arial" w:ascii="Arial" w:hAnsi="Arial"/>
          <w:b/>
          <w:bCs/>
          <w:color w:val="000000"/>
        </w:rPr>
        <w:t>garantire</w:t>
      </w:r>
      <w:r>
        <w:rPr>
          <w:rFonts w:eastAsia="Arial" w:cs="Arial" w:ascii="Arial" w:hAnsi="Arial"/>
          <w:color w:val="000000"/>
        </w:rPr>
        <w:t xml:space="preserve"> che lo stesso assicuri le medesime tutele di quello indicato dalla Stazione appaltante (</w:t>
      </w:r>
      <w:r>
        <w:rPr>
          <w:rFonts w:eastAsia="Arial" w:cs="Arial" w:ascii="Arial" w:hAnsi="Arial"/>
          <w:b/>
          <w:bCs/>
          <w:color w:val="000000"/>
        </w:rPr>
        <w:t>art. 11, commi 3 e 4 D.Lgs. 36/2023</w:t>
      </w:r>
      <w:r>
        <w:rPr>
          <w:rFonts w:eastAsia="Arial" w:cs="Arial" w:ascii="Arial" w:hAnsi="Arial"/>
          <w:color w:val="000000"/>
        </w:rPr>
        <w:t>);</w:t>
      </w:r>
    </w:p>
    <w:p>
      <w:pPr>
        <w:pStyle w:val="Normal1"/>
        <w:numPr>
          <w:ilvl w:val="0"/>
          <w:numId w:val="1"/>
        </w:numPr>
        <w:tabs>
          <w:tab w:val="clear" w:pos="720"/>
          <w:tab w:val="left" w:pos="1034" w:leader="none"/>
          <w:tab w:val="left" w:pos="1155" w:leader="none"/>
        </w:tabs>
        <w:spacing w:lineRule="auto" w:line="276"/>
        <w:jc w:val="both"/>
        <w:rPr>
          <w:rFonts w:ascii="Arial" w:hAnsi="Arial" w:eastAsia="Arial" w:cs="Arial"/>
          <w:color w:val="000000"/>
        </w:rPr>
      </w:pPr>
      <w:r>
        <w:rPr>
          <w:rFonts w:eastAsia="Arial" w:cs="Arial" w:ascii="Arial" w:hAnsi="Arial"/>
          <w:b/>
          <w:color w:val="000000"/>
        </w:rPr>
        <w:t>di impegnarsi</w:t>
      </w:r>
      <w:r>
        <w:rPr>
          <w:rFonts w:eastAsia="Arial" w:cs="Arial" w:ascii="Arial" w:hAnsi="Arial"/>
          <w:color w:val="000000"/>
        </w:rPr>
        <w:t xml:space="preserve"> ad osservare le norme in materia di prevenzione, protezione e sicurezza del lavoro contenute nel D.Lgs. 81/2008 e s.m.i.;</w:t>
      </w:r>
    </w:p>
    <w:p>
      <w:pPr>
        <w:pStyle w:val="Normal1"/>
        <w:numPr>
          <w:ilvl w:val="0"/>
          <w:numId w:val="1"/>
        </w:numPr>
        <w:tabs>
          <w:tab w:val="clear" w:pos="720"/>
          <w:tab w:val="left" w:pos="1034" w:leader="none"/>
          <w:tab w:val="left" w:pos="1155" w:leader="none"/>
        </w:tabs>
        <w:spacing w:lineRule="auto" w:line="276"/>
        <w:jc w:val="both"/>
        <w:rPr>
          <w:rFonts w:ascii="Arial" w:hAnsi="Arial" w:eastAsia="Arial" w:cs="Arial"/>
          <w:color w:val="000000"/>
        </w:rPr>
      </w:pPr>
      <w:r>
        <w:rPr>
          <w:rFonts w:eastAsia="Arial" w:cs="Arial" w:ascii="Arial" w:hAnsi="Arial"/>
          <w:color w:val="000000"/>
        </w:rPr>
        <w:t>di non aver presentato né in precedenti procedure di gara e/o affidamenti, né nella presente procedura documentazioni omesse o non veritiere (art. 98, comma 5, del D. Lgs. n. 36/2023 e s.m.i.);</w:t>
      </w:r>
    </w:p>
    <w:p>
      <w:pPr>
        <w:pStyle w:val="ListParagraph"/>
        <w:widowControl w:val="false"/>
        <w:numPr>
          <w:ilvl w:val="0"/>
          <w:numId w:val="1"/>
        </w:numPr>
        <w:spacing w:lineRule="auto" w:line="24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di non essersi reso colpevole di gravi illeciti professionali, tali da rendere dubbia la sua integrità o affidabilità, né di ricorrere nelle altre fattispecie di cui agli art. 94, 95, 96, 97 e 98</w:t>
      </w:r>
      <w:r>
        <w:rPr>
          <w:rStyle w:val="Richiamoallanotaapidipagina"/>
          <w:rFonts w:eastAsia="Arial" w:cs="Arial" w:ascii="Arial" w:hAnsi="Arial"/>
          <w:color w:val="000000"/>
          <w:position w:val="0"/>
          <w:sz w:val="24"/>
          <w:sz w:val="24"/>
          <w:szCs w:val="24"/>
          <w:vertAlign w:val="baseline"/>
        </w:rPr>
        <w:footnoteReference w:id="2"/>
      </w:r>
      <w:r>
        <w:rPr>
          <w:rFonts w:eastAsia="Arial" w:cs="Arial" w:ascii="Arial" w:hAnsi="Arial"/>
          <w:color w:val="000000"/>
          <w:position w:val="0"/>
          <w:sz w:val="24"/>
          <w:sz w:val="24"/>
          <w:szCs w:val="24"/>
          <w:vertAlign w:val="baseline"/>
        </w:rPr>
        <w:t xml:space="preserve"> del D. Lgs. n. 36/2023 e s.m.i.; </w:t>
      </w:r>
    </w:p>
    <w:p>
      <w:pPr>
        <w:pStyle w:val="Normal"/>
        <w:widowControl w:val="false"/>
        <w:numPr>
          <w:ilvl w:val="0"/>
          <w:numId w:val="0"/>
        </w:numPr>
        <w:spacing w:lineRule="auto" w:line="240"/>
        <w:ind w:left="360" w:hanging="0"/>
        <w:jc w:val="center"/>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widowControl w:val="false"/>
        <w:numPr>
          <w:ilvl w:val="0"/>
          <w:numId w:val="0"/>
        </w:numPr>
        <w:spacing w:lineRule="auto" w:line="240"/>
        <w:ind w:left="360" w:hanging="0"/>
        <w:jc w:val="center"/>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IN ALTERNATIVA AL PRECEDENTE PUNTO 8</w:t>
      </w:r>
      <w:bookmarkStart w:id="0" w:name="Copia__GoBack_1"/>
      <w:bookmarkEnd w:id="0"/>
      <w:r>
        <w:rPr>
          <w:rFonts w:eastAsia="Arial" w:cs="Arial" w:ascii="Arial" w:hAnsi="Arial"/>
          <w:color w:val="000000"/>
          <w:position w:val="0"/>
          <w:sz w:val="24"/>
          <w:sz w:val="24"/>
          <w:szCs w:val="24"/>
          <w:vertAlign w:val="baseline"/>
        </w:rPr>
        <w:t>, DICHIARA</w:t>
      </w:r>
    </w:p>
    <w:tbl>
      <w:tblPr>
        <w:tblW w:w="10084" w:type="dxa"/>
        <w:jc w:val="left"/>
        <w:tblInd w:w="-221" w:type="dxa"/>
        <w:tblLayout w:type="fixed"/>
        <w:tblCellMar>
          <w:top w:w="0" w:type="dxa"/>
          <w:left w:w="115" w:type="dxa"/>
          <w:bottom w:w="0" w:type="dxa"/>
          <w:right w:w="115" w:type="dxa"/>
        </w:tblCellMar>
        <w:tblLook w:firstRow="0" w:noVBand="0" w:lastRow="0" w:firstColumn="0" w:lastColumn="0" w:noHBand="0" w:val="0000"/>
      </w:tblPr>
      <w:tblGrid>
        <w:gridCol w:w="1612"/>
        <w:gridCol w:w="8471"/>
      </w:tblGrid>
      <w:tr>
        <w:trPr>
          <w:trHeight w:val="370" w:hRule="atLeast"/>
        </w:trPr>
        <w:tc>
          <w:tcPr>
            <w:tcW w:w="1612" w:type="dxa"/>
            <w:tcBorders/>
            <w:shd w:color="auto" w:fill="auto" w:val="clear"/>
          </w:tcPr>
          <w:p>
            <w:pPr>
              <w:pStyle w:val="Normal"/>
              <w:widowControl w:val="false"/>
              <w:numPr>
                <w:ilvl w:val="0"/>
                <w:numId w:val="0"/>
              </w:numPr>
              <w:spacing w:before="60" w:after="60"/>
              <w:ind w:left="505" w:hanging="0"/>
              <w:jc w:val="center"/>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w:t>
            </w:r>
          </w:p>
        </w:tc>
        <w:tc>
          <w:tcPr>
            <w:tcW w:w="8471" w:type="dxa"/>
            <w:tcBorders/>
            <w:shd w:color="auto" w:fill="auto" w:val="clear"/>
          </w:tcPr>
          <w:p>
            <w:pPr>
              <w:pStyle w:val="Normal"/>
              <w:widowControl w:val="false"/>
              <w:numPr>
                <w:ilvl w:val="0"/>
                <w:numId w:val="0"/>
              </w:numPr>
              <w:spacing w:lineRule="auto" w:line="252" w:before="129" w:after="0"/>
              <w:ind w:left="27" w:hanging="0"/>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t>la sussistenza di una delle cause di esclusione previste dagli artt. 94, 95, 96, 97 e 98 del Decreto Legislativo n. 36/2023 su elencate, per le finalità richiamate ed in quanto compatibile, e di volersi avvalere della facoltà di “self cleaning” disciplinata dall’art. 96 del Decreto Legislativo n. 36/2023.</w:t>
            </w:r>
          </w:p>
        </w:tc>
      </w:tr>
    </w:tbl>
    <w:p>
      <w:pPr>
        <w:pStyle w:val="Normal"/>
        <w:widowControl w:val="false"/>
        <w:numPr>
          <w:ilvl w:val="0"/>
          <w:numId w:val="0"/>
        </w:numPr>
        <w:spacing w:lineRule="auto" w:line="252" w:before="129" w:after="0"/>
        <w:ind w:left="709" w:hanging="0"/>
        <w:jc w:val="both"/>
        <w:rPr>
          <w:rFonts w:ascii="Arial" w:hAnsi="Arial" w:eastAsia="Arial" w:cs="Arial"/>
          <w:color w:val="000000"/>
          <w:kern w:val="0"/>
          <w:position w:val="0"/>
          <w:sz w:val="24"/>
          <w:sz w:val="24"/>
          <w:szCs w:val="24"/>
          <w:vertAlign w:val="baseline"/>
          <w:lang w:val="it-IT" w:eastAsia="it-IT" w:bidi="ar-SA"/>
        </w:rPr>
      </w:pPr>
      <w:r>
        <w:rPr>
          <w:rFonts w:eastAsia="Arial" w:cs="Arial" w:ascii="Arial" w:hAnsi="Arial"/>
          <w:color w:val="000000"/>
          <w:kern w:val="0"/>
          <w:position w:val="0"/>
          <w:sz w:val="24"/>
          <w:sz w:val="24"/>
          <w:szCs w:val="24"/>
          <w:vertAlign w:val="baseline"/>
          <w:lang w:val="it-IT" w:eastAsia="it-IT" w:bidi="ar-SA"/>
        </w:rPr>
        <w:t>A tal fine, produce una descrizione accurata della/delle causa/e di esclusione e idonea documentazione utile al soddisfacimento dei termini e condizioni previsti dal comma 6 dell’art. 96, secondo cui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w:t>
      </w:r>
      <w:r>
        <w:rPr>
          <w:rFonts w:eastAsia="Arial" w:cs="Arial" w:ascii="Arial" w:hAnsi="Arial"/>
          <w:color w:val="000000"/>
          <w:kern w:val="0"/>
          <w:position w:val="0"/>
          <w:sz w:val="24"/>
          <w:sz w:val="24"/>
          <w:szCs w:val="24"/>
          <w:vertAlign w:val="baseline"/>
          <w:lang w:val="it-IT" w:eastAsia="it-IT" w:bidi="ar-SA"/>
        </w:rPr>
        <w:t>ffidament</w:t>
      </w:r>
      <w:r>
        <w:rPr>
          <w:rFonts w:eastAsia="Arial" w:cs="Arial" w:ascii="Arial" w:hAnsi="Arial"/>
          <w:color w:val="000000"/>
          <w:kern w:val="0"/>
          <w:position w:val="0"/>
          <w:sz w:val="24"/>
          <w:sz w:val="24"/>
          <w:szCs w:val="24"/>
          <w:vertAlign w:val="baseline"/>
          <w:lang w:val="it-IT" w:eastAsia="it-IT" w:bidi="ar-SA"/>
        </w:rPr>
        <w: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pPr>
        <w:pStyle w:val="Normal1"/>
        <w:numPr>
          <w:ilvl w:val="0"/>
          <w:numId w:val="1"/>
        </w:numPr>
        <w:tabs>
          <w:tab w:val="clear" w:pos="720"/>
          <w:tab w:val="left" w:pos="1034" w:leader="none"/>
          <w:tab w:val="left" w:pos="1155" w:leader="none"/>
        </w:tabs>
        <w:spacing w:lineRule="auto" w:line="276"/>
        <w:jc w:val="both"/>
        <w:rPr>
          <w:highlight w:val="none"/>
          <w:shd w:fill="auto" w:val="clear"/>
        </w:rPr>
      </w:pPr>
      <w:r>
        <w:rPr>
          <w:rFonts w:eastAsia="Arial" w:cs="Arial" w:ascii="Arial" w:hAnsi="Arial"/>
          <w:color w:val="000000"/>
          <w:shd w:fill="auto" w:val="clear"/>
        </w:rPr>
        <w:t xml:space="preserve">di </w:t>
      </w:r>
      <w:r>
        <w:rPr>
          <w:rFonts w:eastAsia="Arial" w:cs="Arial" w:ascii="Arial" w:hAnsi="Arial"/>
          <w:b/>
          <w:bCs/>
          <w:color w:val="000000"/>
          <w:shd w:fill="auto" w:val="clear"/>
        </w:rPr>
        <w:t>assumere l'obbligo</w:t>
      </w:r>
      <w:r>
        <w:rPr>
          <w:rFonts w:eastAsia="Arial" w:cs="Arial" w:ascii="Arial" w:hAnsi="Arial"/>
          <w:color w:val="000000"/>
          <w:shd w:fill="auto" w:val="clear"/>
        </w:rPr>
        <w:t xml:space="preserve"> di assicurare, in caso di perfezionamento dell’affidamento, una quota pari almeno al 30 per cento, delle assunzioni necessarie per l'esecuzione del contratto o per la realizzazione di attività a esso connesse o strumentali, sia all'occupazione giovanile (under 36) sia all'occupazione femminile;</w:t>
      </w:r>
    </w:p>
    <w:p>
      <w:pPr>
        <w:pStyle w:val="Normal1"/>
        <w:numPr>
          <w:ilvl w:val="0"/>
          <w:numId w:val="1"/>
        </w:numPr>
        <w:tabs>
          <w:tab w:val="clear" w:pos="720"/>
          <w:tab w:val="left" w:pos="1034" w:leader="none"/>
          <w:tab w:val="left" w:pos="1155" w:leader="none"/>
        </w:tabs>
        <w:spacing w:lineRule="auto" w:line="276"/>
        <w:jc w:val="both"/>
        <w:rPr>
          <w:shd w:fill="FFFF00" w:val="clear"/>
        </w:rPr>
      </w:pPr>
      <w:r>
        <w:rPr>
          <w:rFonts w:eastAsia="Arial" w:cs="Arial" w:ascii="Arial" w:hAnsi="Arial"/>
          <w:color w:val="000000"/>
        </w:rPr>
        <w:t xml:space="preserve"> </w:t>
      </w:r>
      <w:r>
        <w:rPr>
          <w:rFonts w:eastAsia="Arial" w:cs="Arial" w:ascii="Arial" w:hAnsi="Arial"/>
          <w:b/>
          <w:bCs/>
          <w:i/>
          <w:iCs/>
          <w:color w:val="000000"/>
        </w:rPr>
        <w:t>(</w:t>
      </w:r>
      <w:r>
        <w:rPr>
          <w:rFonts w:eastAsia="Arial" w:cs="Arial" w:ascii="Arial" w:hAnsi="Arial"/>
          <w:b/>
          <w:bCs/>
          <w:i/>
          <w:iCs/>
          <w:color w:val="000000"/>
          <w:kern w:val="0"/>
          <w:sz w:val="24"/>
          <w:szCs w:val="24"/>
          <w:lang w:val="it-IT" w:eastAsia="it-IT" w:bidi="ar-SA"/>
        </w:rPr>
        <w:t>scegliere una delle due opzioni di seguito):</w:t>
      </w:r>
    </w:p>
    <w:p>
      <w:pPr>
        <w:pStyle w:val="Normal1"/>
        <w:tabs>
          <w:tab w:val="clear" w:pos="720"/>
          <w:tab w:val="left" w:pos="1034" w:leader="none"/>
          <w:tab w:val="left" w:pos="1155" w:leader="none"/>
        </w:tabs>
        <w:spacing w:lineRule="auto" w:line="276"/>
        <w:ind w:left="720" w:hanging="1"/>
        <w:jc w:val="both"/>
        <w:rPr/>
      </w:pPr>
      <w:r>
        <w:rPr>
          <w:rFonts w:eastAsia="Arial" w:cs="Arial" w:ascii="Arial" w:hAnsi="Arial"/>
          <w:color w:val="000000"/>
        </w:rPr>
        <w:t xml:space="preserve">☐ </w:t>
      </w:r>
      <w:r>
        <w:rPr>
          <w:rFonts w:eastAsia="Arial" w:cs="Arial" w:ascii="Arial" w:hAnsi="Arial"/>
          <w:color w:val="000000"/>
        </w:rPr>
        <w:t>di aver assolto agli obblighi di cui alla legge n. 68/1999;</w:t>
      </w:r>
    </w:p>
    <w:p>
      <w:pPr>
        <w:pStyle w:val="Normal1"/>
        <w:tabs>
          <w:tab w:val="clear" w:pos="720"/>
          <w:tab w:val="left" w:pos="1034" w:leader="none"/>
          <w:tab w:val="left" w:pos="1155" w:leader="none"/>
        </w:tabs>
        <w:spacing w:lineRule="auto" w:line="276"/>
        <w:ind w:left="720" w:hanging="1"/>
        <w:jc w:val="both"/>
        <w:rPr/>
      </w:pPr>
      <w:r>
        <w:rPr>
          <w:rFonts w:eastAsia="Arial" w:cs="Arial" w:ascii="Arial" w:hAnsi="Arial"/>
          <w:color w:val="000000"/>
        </w:rPr>
        <w:t xml:space="preserve">☐ </w:t>
      </w:r>
      <w:r>
        <w:rPr>
          <w:rFonts w:eastAsia="Arial" w:cs="Arial" w:ascii="Arial" w:hAnsi="Arial"/>
          <w:color w:val="000000"/>
        </w:rPr>
        <w:t>di non essere soggetta agli obblighi di cui alla legge n. 68/1999 per le seguenti motivazioni ……………………… (completare);</w:t>
      </w:r>
    </w:p>
    <w:p>
      <w:pPr>
        <w:pStyle w:val="Normal1"/>
        <w:numPr>
          <w:ilvl w:val="0"/>
          <w:numId w:val="1"/>
        </w:numPr>
        <w:tabs>
          <w:tab w:val="clear" w:pos="720"/>
          <w:tab w:val="left" w:pos="1034" w:leader="none"/>
          <w:tab w:val="left" w:pos="1155" w:leader="none"/>
        </w:tabs>
        <w:spacing w:lineRule="auto" w:line="276"/>
        <w:jc w:val="both"/>
        <w:rPr/>
      </w:pPr>
      <w:r>
        <w:rPr>
          <w:rFonts w:eastAsia="Arial" w:cs="Arial" w:ascii="Arial" w:hAnsi="Arial"/>
          <w:b/>
          <w:bCs/>
          <w:color w:val="000000"/>
        </w:rPr>
        <w:t>di conoscere, accettare ed impegnarsi a rispettare</w:t>
      </w:r>
      <w:r>
        <w:rPr>
          <w:rFonts w:eastAsia="Arial" w:cs="Arial" w:ascii="Arial" w:hAnsi="Arial"/>
          <w:color w:val="000000"/>
        </w:rPr>
        <w:t xml:space="preserve"> il Patto di Integrità delle Imprese, allegato alla presente ed a rispettare, altresì, il Codice di Comportamento della Città (http://bandi.comune.torino.it/informazioni/codice-comportamento);</w:t>
      </w:r>
    </w:p>
    <w:p>
      <w:pPr>
        <w:pStyle w:val="Normal1"/>
        <w:numPr>
          <w:ilvl w:val="0"/>
          <w:numId w:val="1"/>
        </w:numPr>
        <w:tabs>
          <w:tab w:val="clear" w:pos="720"/>
          <w:tab w:val="left" w:pos="1034" w:leader="none"/>
          <w:tab w:val="left" w:pos="1155" w:leader="none"/>
        </w:tabs>
        <w:spacing w:lineRule="auto" w:line="276"/>
        <w:jc w:val="both"/>
        <w:rPr>
          <w:shd w:fill="FFFF00" w:val="clear"/>
        </w:rPr>
      </w:pPr>
      <w:r>
        <w:rPr>
          <w:rFonts w:eastAsia="Arial" w:cs="Arial" w:ascii="Arial" w:hAnsi="Arial"/>
          <w:b/>
          <w:bCs/>
          <w:color w:val="000000"/>
        </w:rPr>
        <w:t>di impegnarsi</w:t>
      </w:r>
      <w:r>
        <w:rPr>
          <w:rFonts w:eastAsia="Arial" w:cs="Arial" w:ascii="Arial" w:hAnsi="Arial"/>
          <w:color w:val="000000"/>
        </w:rPr>
        <w:t xml:space="preserve"> al rispetto della clausola di divieto di pantouflage o revolving doors in attuazione dell’art. 53, comma 16-ter del D.Lgs. 165/2001 e s.m.i.. In particolare, dichiara di non aver conferito incarichi professionali né concluso alcun contratto di lavoro subordinato o autonomo ad ex dipendenti che hanno cessato il rapporto di lavoro con la Città di Torino da meno di tre anni i quali, negli ultimi tre anni di servizio, hanno esercitato poteri autoritativi o negoziali per conto di quest’ultima;</w:t>
      </w:r>
    </w:p>
    <w:p>
      <w:pPr>
        <w:pStyle w:val="Normal1"/>
        <w:numPr>
          <w:ilvl w:val="0"/>
          <w:numId w:val="1"/>
        </w:numPr>
        <w:tabs>
          <w:tab w:val="clear" w:pos="720"/>
          <w:tab w:val="left" w:pos="1034" w:leader="none"/>
          <w:tab w:val="left" w:pos="1155" w:leader="none"/>
        </w:tabs>
        <w:spacing w:lineRule="auto" w:line="276"/>
        <w:jc w:val="both"/>
        <w:rPr/>
      </w:pPr>
      <w:r>
        <w:rPr>
          <w:rFonts w:eastAsia="Arial" w:cs="Arial" w:ascii="Arial" w:hAnsi="Arial"/>
          <w:b/>
          <w:bCs/>
          <w:color w:val="000000"/>
        </w:rPr>
        <w:t>di aver determinato</w:t>
      </w:r>
      <w:r>
        <w:rPr>
          <w:rFonts w:eastAsia="Arial" w:cs="Arial" w:ascii="Arial" w:hAnsi="Arial"/>
          <w:color w:val="000000"/>
        </w:rPr>
        <w:t xml:space="preserve"> il prezzo offerto tenendo conto anche degli oneri previsti per l’adozione delle misure di prevenzione e protezione dai rischi sul lavoro in attuazione del D.Lgs. 81/2008 e s.m.i, nonché del costo del lavoro come determinato periodicamente in apposite tabelle dal Ministero del Lavoro e delle Politiche sociali, del CCNL sopra citato;</w:t>
      </w:r>
    </w:p>
    <w:p>
      <w:pPr>
        <w:pStyle w:val="Normal1"/>
        <w:numPr>
          <w:ilvl w:val="0"/>
          <w:numId w:val="1"/>
        </w:numPr>
        <w:tabs>
          <w:tab w:val="clear" w:pos="720"/>
          <w:tab w:val="left" w:pos="1034" w:leader="none"/>
          <w:tab w:val="left" w:pos="1155" w:leader="none"/>
        </w:tabs>
        <w:spacing w:lineRule="auto" w:line="276"/>
        <w:jc w:val="both"/>
        <w:rPr>
          <w:highlight w:val="none"/>
          <w:shd w:fill="auto" w:val="clear"/>
        </w:rPr>
      </w:pPr>
      <w:r>
        <w:rPr>
          <w:rFonts w:eastAsia="Arial" w:cs="Arial" w:ascii="Arial" w:hAnsi="Arial"/>
          <w:color w:val="000000"/>
          <w:shd w:fill="auto" w:val="clear"/>
        </w:rPr>
        <w:t xml:space="preserve">in riferimento ai rischi specifici e di interferenza presenti nel luogo di lavoro, espressamente </w:t>
      </w:r>
      <w:r>
        <w:rPr>
          <w:rFonts w:eastAsia="Arial" w:cs="Arial" w:ascii="Arial" w:hAnsi="Arial"/>
          <w:b/>
          <w:bCs/>
          <w:color w:val="000000"/>
          <w:shd w:fill="auto" w:val="clear"/>
        </w:rPr>
        <w:t>di aver preso visione</w:t>
      </w:r>
      <w:r>
        <w:rPr>
          <w:rFonts w:eastAsia="Arial" w:cs="Arial" w:ascii="Arial" w:hAnsi="Arial"/>
          <w:color w:val="000000"/>
          <w:shd w:fill="auto" w:val="clear"/>
        </w:rPr>
        <w:t xml:space="preserve"> degli stessi nel documento specifico (DUVRI);</w:t>
      </w:r>
    </w:p>
    <w:p>
      <w:pPr>
        <w:pStyle w:val="Normal1"/>
        <w:numPr>
          <w:ilvl w:val="0"/>
          <w:numId w:val="1"/>
        </w:numPr>
        <w:tabs>
          <w:tab w:val="clear" w:pos="720"/>
          <w:tab w:val="left" w:pos="1034" w:leader="none"/>
          <w:tab w:val="left" w:pos="1155" w:leader="none"/>
        </w:tabs>
        <w:spacing w:lineRule="auto" w:line="276"/>
        <w:jc w:val="both"/>
        <w:rPr>
          <w:highlight w:val="none"/>
          <w:shd w:fill="auto" w:val="clear"/>
        </w:rPr>
      </w:pPr>
      <w:r>
        <w:rPr>
          <w:rFonts w:eastAsia="Arial" w:cs="Arial" w:ascii="Arial" w:hAnsi="Arial"/>
          <w:b/>
          <w:bCs/>
          <w:color w:val="000000"/>
          <w:shd w:fill="auto" w:val="clear"/>
        </w:rPr>
        <w:t>di impegnarsi</w:t>
      </w:r>
      <w:r>
        <w:rPr>
          <w:rFonts w:eastAsia="Arial" w:cs="Arial" w:ascii="Arial" w:hAnsi="Arial"/>
          <w:color w:val="000000"/>
          <w:shd w:fill="auto" w:val="clear"/>
        </w:rPr>
        <w:t>, nei casi previsti dall’art. 26 del D.Lgs. 81/2008 e s.m.i. ad ispezionare la zona di lavoro prima di iniziare i lavori e a collaborare con il Servizio di Prevenzione e Protezione, con il quale valutare eventuali ulteriori rischi da interferenza non previsti e conseguenti ad eventi non noti al momento della sottoscrizione del contratto;</w:t>
      </w:r>
    </w:p>
    <w:p>
      <w:pPr>
        <w:pStyle w:val="Normal1"/>
        <w:numPr>
          <w:ilvl w:val="0"/>
          <w:numId w:val="1"/>
        </w:numPr>
        <w:tabs>
          <w:tab w:val="clear" w:pos="720"/>
          <w:tab w:val="left" w:pos="1034" w:leader="none"/>
          <w:tab w:val="left" w:pos="1155" w:leader="none"/>
        </w:tabs>
        <w:spacing w:lineRule="auto" w:line="276"/>
        <w:jc w:val="both"/>
        <w:rPr>
          <w:highlight w:val="none"/>
          <w:shd w:fill="auto" w:val="clear"/>
        </w:rPr>
      </w:pPr>
      <w:r>
        <w:rPr>
          <w:rFonts w:eastAsia="Arial" w:cs="Arial" w:ascii="Arial" w:hAnsi="Arial"/>
          <w:b/>
          <w:bCs/>
          <w:color w:val="000000"/>
          <w:shd w:fill="auto" w:val="clear"/>
        </w:rPr>
        <w:t>di essere in possesso</w:t>
      </w:r>
      <w:r>
        <w:rPr>
          <w:rFonts w:eastAsia="Arial" w:cs="Arial" w:ascii="Arial" w:hAnsi="Arial"/>
          <w:color w:val="000000"/>
          <w:shd w:fill="auto" w:val="clear"/>
        </w:rPr>
        <w:t xml:space="preserve"> (</w:t>
      </w:r>
      <w:r>
        <w:rPr>
          <w:rFonts w:eastAsia="Arial" w:cs="Arial" w:ascii="Arial" w:hAnsi="Arial"/>
          <w:b/>
          <w:bCs/>
          <w:color w:val="000000"/>
          <w:shd w:fill="auto" w:val="clear"/>
        </w:rPr>
        <w:t>o di impegnarsi a stipulare</w:t>
      </w:r>
      <w:r>
        <w:rPr>
          <w:rFonts w:eastAsia="Arial" w:cs="Arial" w:ascii="Arial" w:hAnsi="Arial"/>
          <w:color w:val="000000"/>
          <w:shd w:fill="auto" w:val="clear"/>
        </w:rPr>
        <w:t xml:space="preserve"> la relativa polizza entro 15 giorni dalla comunicazione dell’aggiudicazione) di assicurazione RCT per danni a persone o cose che fossero prodotti durante l’esecuzione del servizio con massimali non inferiori a quanto indicato nel capitolato tecnico;</w:t>
      </w:r>
    </w:p>
    <w:p>
      <w:pPr>
        <w:pStyle w:val="Normal1"/>
        <w:numPr>
          <w:ilvl w:val="0"/>
          <w:numId w:val="1"/>
        </w:numPr>
        <w:tabs>
          <w:tab w:val="clear" w:pos="720"/>
          <w:tab w:val="left" w:pos="1034" w:leader="none"/>
          <w:tab w:val="left" w:pos="1155" w:leader="none"/>
        </w:tabs>
        <w:spacing w:lineRule="auto" w:line="276"/>
        <w:jc w:val="both"/>
        <w:rPr>
          <w:rFonts w:ascii="Arial" w:hAnsi="Arial" w:eastAsia="Arial" w:cs="Arial"/>
          <w:color w:val="000000"/>
        </w:rPr>
      </w:pPr>
      <w:r>
        <w:rPr>
          <w:rFonts w:eastAsia="Arial" w:cs="Arial" w:ascii="Arial" w:hAnsi="Arial"/>
          <w:b/>
          <w:bCs/>
          <w:color w:val="000000"/>
        </w:rPr>
        <w:t xml:space="preserve">di non partecipare </w:t>
      </w:r>
      <w:r>
        <w:rPr>
          <w:rFonts w:eastAsia="Arial" w:cs="Arial" w:ascii="Arial" w:hAnsi="Arial"/>
          <w:color w:val="000000"/>
        </w:rPr>
        <w:t>alla medesima procedura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procedura selettiva, né è idonea a incidere sulla capacità di rispettare gli obblighi contrattuali;</w:t>
      </w:r>
    </w:p>
    <w:p>
      <w:pPr>
        <w:pStyle w:val="Normal1"/>
        <w:numPr>
          <w:ilvl w:val="0"/>
          <w:numId w:val="1"/>
        </w:numPr>
        <w:tabs>
          <w:tab w:val="clear" w:pos="720"/>
          <w:tab w:val="left" w:pos="1034" w:leader="none"/>
          <w:tab w:val="left" w:pos="1155" w:leader="none"/>
        </w:tabs>
        <w:spacing w:lineRule="auto" w:line="276"/>
        <w:jc w:val="both"/>
        <w:rPr>
          <w:rFonts w:ascii="Arial" w:hAnsi="Arial" w:eastAsia="Arial" w:cs="Arial"/>
          <w:color w:val="000000"/>
        </w:rPr>
      </w:pPr>
      <w:r>
        <w:rPr>
          <w:rFonts w:eastAsia="Arial" w:cs="Arial" w:ascii="Arial" w:hAnsi="Arial"/>
          <w:color w:val="000000"/>
        </w:rPr>
        <w:t xml:space="preserve">per gli operatori economici ammessi al concordato preventivo con continuità aziendale di cui all’art. 186 bis del R.D. 16 marzo 1942, n. 267, ad integrazione di quanto indicato nella parte III, sez. C, lett. d) del DGUE, i seguenti </w:t>
      </w:r>
      <w:r>
        <w:rPr>
          <w:rFonts w:eastAsia="Arial" w:cs="Arial" w:ascii="Arial" w:hAnsi="Arial"/>
          <w:b/>
          <w:bCs/>
          <w:color w:val="000000"/>
        </w:rPr>
        <w:t>estremi del provvedimento di ammissione al concordato</w:t>
      </w:r>
      <w:r>
        <w:rPr>
          <w:rFonts w:eastAsia="Arial" w:cs="Arial" w:ascii="Arial" w:hAnsi="Arial"/>
          <w:color w:val="000000"/>
        </w:rPr>
        <w:t xml:space="preserve"> e del provvedimento di autorizzazione a partecipare a procedure di affidamento ___________________________________________________________ rilasciati dal Tribunale di competenza nonché dichiara di non partecipare alla procedura quale mandataria di un raggruppamento temporaneo di imprese e che le altre imprese aderenti al raggruppamento non sono assoggettate ad una procedura concorsuale ai sensi dell’art. 186 bis, comma 6 del R.D. 16 marzo 1942, n. 267;</w:t>
      </w:r>
    </w:p>
    <w:p>
      <w:pPr>
        <w:pStyle w:val="Normal1"/>
        <w:numPr>
          <w:ilvl w:val="0"/>
          <w:numId w:val="1"/>
        </w:numPr>
        <w:tabs>
          <w:tab w:val="clear" w:pos="720"/>
          <w:tab w:val="left" w:pos="1034" w:leader="none"/>
          <w:tab w:val="left" w:pos="1155" w:leader="none"/>
        </w:tabs>
        <w:spacing w:lineRule="auto" w:line="276"/>
        <w:jc w:val="both"/>
        <w:rPr>
          <w:rFonts w:ascii="Arial" w:hAnsi="Arial" w:eastAsia="Arial" w:cs="Arial"/>
          <w:color w:val="000000"/>
          <w:shd w:fill="FFFF00" w:val="clear"/>
        </w:rPr>
      </w:pPr>
      <w:r>
        <w:rPr>
          <w:rFonts w:eastAsia="Arial" w:cs="Arial" w:ascii="Arial" w:hAnsi="Arial"/>
          <w:b/>
          <w:bCs/>
          <w:color w:val="000000"/>
        </w:rPr>
        <w:t xml:space="preserve">di </w:t>
      </w:r>
      <w:r>
        <w:rPr>
          <w:rFonts w:eastAsia="Arial" w:cs="Arial" w:ascii="Arial" w:hAnsi="Arial"/>
          <w:b/>
          <w:color w:val="000000"/>
        </w:rPr>
        <w:t>nominare</w:t>
      </w:r>
      <w:r>
        <w:rPr>
          <w:rFonts w:eastAsia="Arial" w:cs="Arial" w:ascii="Arial" w:hAnsi="Arial"/>
          <w:color w:val="000000"/>
        </w:rPr>
        <w:t xml:space="preserve"> quale Referente delegato/a per le attività oggetto dell’affidamento, il/la Sig./Sig.ra ______________________________ telefono ____________________,</w:t>
      </w:r>
      <w:r>
        <w:rPr>
          <w:rFonts w:eastAsia="Arial" w:cs="Arial" w:ascii="Arial" w:hAnsi="Arial"/>
          <w:color w:val="000000"/>
          <w:shd w:fill="FFFF00" w:val="clear"/>
        </w:rPr>
        <w:t xml:space="preserve"> </w:t>
      </w:r>
      <w:r>
        <w:rPr>
          <w:rFonts w:eastAsia="Arial" w:cs="Arial" w:ascii="Arial" w:hAnsi="Arial"/>
          <w:color w:val="000000"/>
        </w:rPr>
        <w:t>individuato/a anche per comunicare eventuali rischi specifici introdotti nei luoghi di lavoro comunali e/o per svolgere il sopralluogo congiunto preliminare alla sottoscrizione del contratto e, comunque prima dell’inizio delle attività, presso ciascuna sede luogo di lavoro comunale oggetto dell’affidamento;</w:t>
      </w:r>
    </w:p>
    <w:p>
      <w:pPr>
        <w:pStyle w:val="Normal1"/>
        <w:tabs>
          <w:tab w:val="clear" w:pos="720"/>
          <w:tab w:val="left" w:pos="1034" w:leader="none"/>
          <w:tab w:val="left" w:pos="1155" w:leader="none"/>
        </w:tabs>
        <w:spacing w:lineRule="auto" w:line="276"/>
        <w:ind w:left="720" w:hanging="1"/>
        <w:jc w:val="both"/>
        <w:rPr>
          <w:rFonts w:ascii="Arial" w:hAnsi="Arial" w:eastAsia="Arial" w:cs="Arial"/>
          <w:color w:val="000000"/>
          <w:shd w:fill="FFFF00" w:val="clear"/>
        </w:rPr>
      </w:pPr>
      <w:r>
        <w:rPr>
          <w:rFonts w:eastAsia="Arial" w:cs="Arial" w:ascii="Arial" w:hAnsi="Arial"/>
          <w:color w:val="000000"/>
        </w:rPr>
        <w:t xml:space="preserve">che la persona designata è professionalmente idonea a svolgere le summenzionate mansioni affidate. </w:t>
      </w:r>
    </w:p>
    <w:p>
      <w:pPr>
        <w:pStyle w:val="Normal"/>
        <w:spacing w:lineRule="auto" w:line="276" w:before="60" w:after="60"/>
        <w:ind w:left="0" w:hanging="2"/>
        <w:jc w:val="both"/>
        <w:rPr>
          <w:rFonts w:ascii="Arial" w:hAnsi="Arial" w:eastAsia="Arial" w:cs="Arial"/>
          <w:b/>
          <w:position w:val="0"/>
          <w:sz w:val="24"/>
          <w:sz w:val="24"/>
          <w:szCs w:val="24"/>
          <w:vertAlign w:val="baseline"/>
        </w:rPr>
      </w:pPr>
      <w:r>
        <w:rPr>
          <w:rFonts w:eastAsia="Arial" w:cs="Arial" w:ascii="Arial" w:hAnsi="Arial"/>
          <w:b/>
          <w:position w:val="0"/>
          <w:sz w:val="24"/>
          <w:sz w:val="24"/>
          <w:szCs w:val="24"/>
          <w:vertAlign w:val="baseline"/>
        </w:rPr>
      </w:r>
    </w:p>
    <w:p>
      <w:pPr>
        <w:pStyle w:val="Normal"/>
        <w:spacing w:lineRule="auto" w:line="276" w:before="60" w:after="60"/>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spacing w:lineRule="auto" w:line="276"/>
        <w:ind w:left="5670" w:hanging="2"/>
        <w:jc w:val="both"/>
        <w:rPr>
          <w:rFonts w:ascii="Arial" w:hAnsi="Arial"/>
          <w:position w:val="0"/>
          <w:sz w:val="24"/>
          <w:sz w:val="24"/>
          <w:szCs w:val="24"/>
          <w:vertAlign w:val="baseline"/>
        </w:rPr>
      </w:pPr>
      <w:r>
        <w:rPr>
          <w:rFonts w:eastAsia="Arial" w:cs="Arial" w:ascii="Arial" w:hAnsi="Arial"/>
          <w:color w:val="000000"/>
          <w:position w:val="0"/>
          <w:sz w:val="24"/>
          <w:sz w:val="24"/>
          <w:szCs w:val="24"/>
          <w:vertAlign w:val="baseline"/>
        </w:rPr>
        <w:t>Firmato digitalmente</w:t>
      </w:r>
    </w:p>
    <w:p>
      <w:pPr>
        <w:pStyle w:val="Normal"/>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tabs>
          <w:tab w:val="clear" w:pos="720"/>
          <w:tab w:val="left" w:pos="-1134" w:leader="none"/>
          <w:tab w:val="left" w:pos="-568"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p>
    <w:p>
      <w:pPr>
        <w:pStyle w:val="Normal"/>
        <w:spacing w:lineRule="auto" w:line="276"/>
        <w:ind w:left="0" w:hanging="2"/>
        <w:jc w:val="both"/>
        <w:rPr>
          <w:rFonts w:ascii="Arial" w:hAnsi="Arial" w:eastAsia="Arial" w:cs="Arial"/>
          <w:color w:val="000000"/>
          <w:position w:val="0"/>
          <w:sz w:val="24"/>
          <w:sz w:val="24"/>
          <w:szCs w:val="24"/>
          <w:vertAlign w:val="baseline"/>
        </w:rPr>
      </w:pPr>
      <w:r>
        <w:rPr>
          <w:rFonts w:eastAsia="Arial" w:cs="Arial" w:ascii="Arial" w:hAnsi="Arial"/>
          <w:color w:val="000000"/>
          <w:position w:val="0"/>
          <w:sz w:val="24"/>
          <w:sz w:val="24"/>
          <w:szCs w:val="24"/>
          <w:vertAlign w:val="baseline"/>
        </w:rPr>
      </w:r>
      <w:bookmarkStart w:id="1" w:name="_GoBack"/>
      <w:bookmarkStart w:id="2" w:name="_GoBack"/>
      <w:bookmarkEnd w:id="2"/>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20" w:top="1417" w:footer="720" w:bottom="1134"/>
      <w:pgNumType w:start="1"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left="0" w:hanging="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ind w:left="0" w:hanging="2"/>
        <w:jc w:val="both"/>
        <w:rPr>
          <w:rFonts w:eastAsia="Arial"/>
        </w:rPr>
      </w:pPr>
      <w:r>
        <w:rPr>
          <w:rStyle w:val="Caratterinotaapidipagina"/>
        </w:rPr>
        <w:footnoteRef/>
      </w:r>
      <w:r>
        <w:rPr>
          <w:rFonts w:eastAsia="Arial"/>
          <w:vertAlign w:val="superscript"/>
        </w:rPr>
        <w:tab/>
        <w:t xml:space="preserve"> </w:t>
      </w:r>
      <w:r>
        <w:rPr>
          <w:rFonts w:cs="Arial" w:ascii="Arial" w:hAnsi="Arial"/>
          <w:color w:val="000000"/>
          <w:position w:val="0"/>
          <w:sz w:val="20"/>
          <w:sz w:val="20"/>
          <w:vertAlign w:val="baseline"/>
        </w:rPr>
        <w:t>L'art. 98, comma 3, prevede tra le cause di esclusione: lettera b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lettera c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ind w:left="0" w:hanging="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left="0" w:hanging="2"/>
      <w:rPr>
        <w:rFonts w:ascii="Arial" w:hAnsi="Arial" w:eastAsia="Arial" w:cs="Arial"/>
        <w:sz w:val="22"/>
        <w:szCs w:val="22"/>
      </w:rPr>
    </w:pPr>
    <w:r>
      <w:rPr>
        <w:rFonts w:eastAsia="Arial" w:cs="Arial" w:ascii="Arial" w:hAnsi="Arial"/>
        <w:sz w:val="22"/>
        <w:szCs w:val="22"/>
      </w:rPr>
    </w:r>
  </w:p>
  <w:p>
    <w:pPr>
      <w:pStyle w:val="Normal"/>
      <w:ind w:left="0" w:hanging="2"/>
      <w:rPr>
        <w:rFonts w:ascii="Arial" w:hAnsi="Arial" w:eastAsia="Arial" w:cs="Arial"/>
        <w:sz w:val="22"/>
        <w:szCs w:val="22"/>
      </w:rPr>
    </w:pPr>
    <w:r>
      <w:rPr>
        <w:rFonts w:eastAsia="Arial" w:cs="Arial" w:ascii="Arial" w:hAnsi="Arial"/>
        <w:sz w:val="22"/>
        <w:szCs w:val="22"/>
      </w:rPr>
    </w:r>
  </w:p>
  <w:p>
    <w:pPr>
      <w:pStyle w:val="Normal"/>
      <w:ind w:left="0" w:hanging="2"/>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t>(da redigersi su carta intestata dell’operatore economico)</w:t>
    </w:r>
    <w:r>
      <w:rPr>
        <w:rFonts w:eastAsia="Arial" w:cs="Arial" w:ascii="Arial" w:hAnsi="Arial"/>
        <w:position w:val="0"/>
        <w:sz w:val="22"/>
        <w:sz w:val="22"/>
        <w:szCs w:val="22"/>
        <w:vertAlign w:val="baseline"/>
      </w:rPr>
      <mc:AlternateContent>
        <mc:Choice Requires="wps">
          <w:drawing>
            <wp:inline distT="0" distB="0" distL="0" distR="0" wp14:anchorId="72CF8DE6">
              <wp:extent cx="12700" cy="19685"/>
              <wp:effectExtent l="0" t="0" r="0" b="0"/>
              <wp:docPr id="1" name="Forma1"/>
              <a:graphic xmlns:a="http://schemas.openxmlformats.org/drawingml/2006/main">
                <a:graphicData uri="http://schemas.microsoft.com/office/word/2010/wordprocessingShape">
                  <wps:wsp>
                    <wps:cNvSpPr/>
                    <wps:spPr>
                      <a:xfrm>
                        <a:off x="0" y="0"/>
                        <a:ext cx="12600" cy="1980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6pt;width:0.95pt;height:1.5pt;mso-wrap-style:none;v-text-anchor:middle;mso-position-vertical:top" wp14:anchorId="72CF8DE6">
              <v:fill o:detectmouseclick="t" type="solid" color2="#5f5f5f"/>
              <v:stroke color="#3465a4" joinstyle="round" endcap="flat"/>
              <w10:wrap type="square"/>
            </v:rect>
          </w:pict>
        </mc:Fallback>
      </mc:AlternateContent>
      <mc:AlternateContent>
        <mc:Choice Requires="wps">
          <w:drawing>
            <wp:anchor behindDoc="1" distT="0" distB="0" distL="0" distR="0" simplePos="0" locked="0" layoutInCell="1" allowOverlap="1" relativeHeight="9" wp14:anchorId="18B3C493">
              <wp:simplePos x="0" y="0"/>
              <wp:positionH relativeFrom="column">
                <wp:posOffset>116840</wp:posOffset>
              </wp:positionH>
              <wp:positionV relativeFrom="paragraph">
                <wp:posOffset>635</wp:posOffset>
              </wp:positionV>
              <wp:extent cx="197485" cy="197485"/>
              <wp:effectExtent l="0" t="0" r="0" b="0"/>
              <wp:wrapNone/>
              <wp:docPr id="2" name="Cornice1"/>
              <a:graphic xmlns:a="http://schemas.openxmlformats.org/drawingml/2006/main">
                <a:graphicData uri="http://schemas.microsoft.com/office/word/2010/wordprocessingShape">
                  <wps:wsp>
                    <wps:cNvSpPr/>
                    <wps:spPr>
                      <a:xfrm>
                        <a:off x="0" y="0"/>
                        <a:ext cx="197640" cy="197640"/>
                      </a:xfrm>
                      <a:prstGeom prst="rect">
                        <a:avLst/>
                      </a:prstGeom>
                      <a:noFill/>
                      <a:ln w="0">
                        <a:noFill/>
                      </a:ln>
                    </wps:spPr>
                    <wps:style>
                      <a:lnRef idx="0"/>
                      <a:fillRef idx="0"/>
                      <a:effectRef idx="0"/>
                      <a:fontRef idx="minor"/>
                    </wps:style>
                    <wps:txbx>
                      <w:txbxContent>
                        <w:p>
                          <w:pPr>
                            <w:pStyle w:val="Contenutocornice"/>
                            <w:spacing w:lineRule="exact" w:line="240"/>
                            <w:ind w:left="0" w:hanging="0"/>
                            <w:rPr>
                              <w:color w:val="000000"/>
                            </w:rPr>
                          </w:pPr>
                          <w:r>
                            <w:rPr>
                              <w:color w:val="000000"/>
                            </w:rPr>
                          </w:r>
                        </w:p>
                      </w:txbxContent>
                    </wps:txbx>
                    <wps:bodyPr tIns="91440" bIns="91440" anchor="ctr">
                      <a:noAutofit/>
                    </wps:bodyPr>
                  </wps:wsp>
                </a:graphicData>
              </a:graphic>
            </wp:anchor>
          </w:drawing>
        </mc:Choice>
        <mc:Fallback>
          <w:pict>
            <v:rect id="shape_0" ID="Cornice1" path="m0,0l-2147483645,0l-2147483645,-2147483646l0,-2147483646xe" stroked="f" o:allowincell="f" style="position:absolute;margin-left:9.2pt;margin-top:0.05pt;width:15.5pt;height:15.5pt;mso-wrap-style:none;v-text-anchor:middle" wp14:anchorId="18B3C493">
              <v:fill o:detectmouseclick="t" on="false"/>
              <v:stroke color="#3465a4" joinstyle="round" endcap="flat"/>
              <v:textbox>
                <w:txbxContent>
                  <w:p>
                    <w:pPr>
                      <w:pStyle w:val="Contenutocornice"/>
                      <w:spacing w:lineRule="exact" w:line="240"/>
                      <w:ind w:left="0" w:hanging="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18" wp14:anchorId="7AE175A2">
              <wp:simplePos x="0" y="0"/>
              <wp:positionH relativeFrom="column">
                <wp:posOffset>3990975</wp:posOffset>
              </wp:positionH>
              <wp:positionV relativeFrom="paragraph">
                <wp:posOffset>-346710</wp:posOffset>
              </wp:positionV>
              <wp:extent cx="197485" cy="197485"/>
              <wp:effectExtent l="0" t="0" r="0" b="0"/>
              <wp:wrapNone/>
              <wp:docPr id="3" name="Cornice2"/>
              <a:graphic xmlns:a="http://schemas.openxmlformats.org/drawingml/2006/main">
                <a:graphicData uri="http://schemas.microsoft.com/office/word/2010/wordprocessingShape">
                  <wps:wsp>
                    <wps:cNvSpPr/>
                    <wps:spPr>
                      <a:xfrm>
                        <a:off x="0" y="0"/>
                        <a:ext cx="197640" cy="197640"/>
                      </a:xfrm>
                      <a:prstGeom prst="rect">
                        <a:avLst/>
                      </a:prstGeom>
                      <a:noFill/>
                      <a:ln w="0">
                        <a:noFill/>
                      </a:ln>
                    </wps:spPr>
                    <wps:style>
                      <a:lnRef idx="0"/>
                      <a:fillRef idx="0"/>
                      <a:effectRef idx="0"/>
                      <a:fontRef idx="minor"/>
                    </wps:style>
                    <wps:txbx>
                      <w:txbxContent>
                        <w:p>
                          <w:pPr>
                            <w:pStyle w:val="Contenutocornice"/>
                            <w:spacing w:lineRule="exact" w:line="240"/>
                            <w:ind w:left="0" w:hanging="0"/>
                            <w:rPr>
                              <w:color w:val="000000"/>
                            </w:rPr>
                          </w:pPr>
                          <w:r>
                            <w:rPr>
                              <w:color w:val="000000"/>
                            </w:rPr>
                          </w:r>
                        </w:p>
                      </w:txbxContent>
                    </wps:txbx>
                    <wps:bodyPr tIns="91440" bIns="91440" anchor="ctr">
                      <a:noAutofit/>
                    </wps:bodyPr>
                  </wps:wsp>
                </a:graphicData>
              </a:graphic>
            </wp:anchor>
          </w:drawing>
        </mc:Choice>
        <mc:Fallback>
          <w:pict>
            <v:rect id="shape_0" ID="Cornice2" path="m0,0l-2147483645,0l-2147483645,-2147483646l0,-2147483646xe" stroked="f" o:allowincell="f" style="position:absolute;margin-left:314.25pt;margin-top:-27.3pt;width:15.5pt;height:15.5pt;mso-wrap-style:none;v-text-anchor:middle" wp14:anchorId="7AE175A2">
              <v:fill o:detectmouseclick="t" on="false"/>
              <v:stroke color="#3465a4" joinstyle="round" endcap="flat"/>
              <v:textbox>
                <w:txbxContent>
                  <w:p>
                    <w:pPr>
                      <w:pStyle w:val="Contenutocornice"/>
                      <w:spacing w:lineRule="exact" w:line="240"/>
                      <w:ind w:left="0" w:hanging="0"/>
                      <w:rPr>
                        <w:color w:val="000000"/>
                      </w:rPr>
                    </w:pPr>
                    <w:r>
                      <w:rPr>
                        <w:color w:val="000000"/>
                      </w:rPr>
                    </w:r>
                  </w:p>
                </w:txbxContent>
              </v:textbox>
              <w10:wrap type="none"/>
            </v:rect>
          </w:pict>
        </mc:Fallback>
      </mc:AlternateContent>
    </w:r>
    <w:r/>
  </w:p>
  <w:p>
    <w:pPr>
      <w:pStyle w:val="Normal"/>
      <w:ind w:left="0" w:hanging="2"/>
      <w:rPr>
        <w:rFonts w:ascii="Arial" w:hAnsi="Arial" w:eastAsia="Arial" w:cs="Arial"/>
        <w:sz w:val="22"/>
        <w:szCs w:val="22"/>
      </w:rPr>
    </w:pPr>
    <w:r>
      <w:rPr>
        <w:rFonts w:eastAsia="Arial" w:cs="Arial" w:ascii="Arial" w:hAnsi="Arial"/>
        <w:sz w:val="22"/>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left="0" w:hanging="2"/>
      <w:rPr>
        <w:rFonts w:ascii="Arial" w:hAnsi="Arial" w:eastAsia="Arial" w:cs="Arial"/>
        <w:sz w:val="22"/>
        <w:szCs w:val="22"/>
      </w:rPr>
    </w:pPr>
    <w:r>
      <w:rPr>
        <w:rFonts w:eastAsia="Arial" w:cs="Arial" w:ascii="Arial" w:hAnsi="Arial"/>
        <w:sz w:val="22"/>
        <w:szCs w:val="22"/>
      </w:rPr>
    </w:r>
  </w:p>
  <w:p>
    <w:pPr>
      <w:pStyle w:val="Normal"/>
      <w:ind w:left="0" w:hanging="2"/>
      <w:rPr>
        <w:rFonts w:ascii="Arial" w:hAnsi="Arial" w:eastAsia="Arial" w:cs="Arial"/>
        <w:sz w:val="22"/>
        <w:szCs w:val="22"/>
      </w:rPr>
    </w:pPr>
    <w:r>
      <w:rPr>
        <w:rFonts w:eastAsia="Arial" w:cs="Arial" w:ascii="Arial" w:hAnsi="Arial"/>
        <w:sz w:val="22"/>
        <w:szCs w:val="22"/>
      </w:rPr>
    </w:r>
  </w:p>
  <w:p>
    <w:pPr>
      <w:pStyle w:val="Normal"/>
      <w:ind w:left="0" w:hanging="2"/>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t>(da redigersi su carta intestata dell’operatore economico)</w:t>
    </w:r>
    <w:r>
      <w:rPr>
        <w:rFonts w:eastAsia="Arial" w:cs="Arial" w:ascii="Arial" w:hAnsi="Arial"/>
        <w:position w:val="0"/>
        <w:sz w:val="22"/>
        <w:sz w:val="22"/>
        <w:szCs w:val="22"/>
        <w:vertAlign w:val="baseline"/>
      </w:rPr>
      <mc:AlternateContent>
        <mc:Choice Requires="wps">
          <w:drawing>
            <wp:inline distT="0" distB="0" distL="0" distR="0" wp14:anchorId="72CF8DE6">
              <wp:extent cx="12700" cy="19685"/>
              <wp:effectExtent l="0" t="0" r="0" b="0"/>
              <wp:docPr id="4" name="Forma1"/>
              <a:graphic xmlns:a="http://schemas.openxmlformats.org/drawingml/2006/main">
                <a:graphicData uri="http://schemas.microsoft.com/office/word/2010/wordprocessingShape">
                  <wps:wsp>
                    <wps:cNvSpPr/>
                    <wps:spPr>
                      <a:xfrm>
                        <a:off x="0" y="0"/>
                        <a:ext cx="12600" cy="1980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6pt;width:0.95pt;height:1.5pt;mso-wrap-style:none;v-text-anchor:middle;mso-position-vertical:top" wp14:anchorId="72CF8DE6">
              <v:fill o:detectmouseclick="t" type="solid" color2="#5f5f5f"/>
              <v:stroke color="#3465a4" joinstyle="round" endcap="flat"/>
              <w10:wrap type="square"/>
            </v:rect>
          </w:pict>
        </mc:Fallback>
      </mc:AlternateContent>
      <mc:AlternateContent>
        <mc:Choice Requires="wps">
          <w:drawing>
            <wp:anchor behindDoc="1" distT="0" distB="0" distL="0" distR="0" simplePos="0" locked="0" layoutInCell="1" allowOverlap="1" relativeHeight="9" wp14:anchorId="18B3C493">
              <wp:simplePos x="0" y="0"/>
              <wp:positionH relativeFrom="column">
                <wp:posOffset>116840</wp:posOffset>
              </wp:positionH>
              <wp:positionV relativeFrom="paragraph">
                <wp:posOffset>635</wp:posOffset>
              </wp:positionV>
              <wp:extent cx="197485" cy="197485"/>
              <wp:effectExtent l="0" t="0" r="0" b="0"/>
              <wp:wrapNone/>
              <wp:docPr id="5" name="Cornice1"/>
              <a:graphic xmlns:a="http://schemas.openxmlformats.org/drawingml/2006/main">
                <a:graphicData uri="http://schemas.microsoft.com/office/word/2010/wordprocessingShape">
                  <wps:wsp>
                    <wps:cNvSpPr/>
                    <wps:spPr>
                      <a:xfrm>
                        <a:off x="0" y="0"/>
                        <a:ext cx="197640" cy="197640"/>
                      </a:xfrm>
                      <a:prstGeom prst="rect">
                        <a:avLst/>
                      </a:prstGeom>
                      <a:noFill/>
                      <a:ln w="0">
                        <a:noFill/>
                      </a:ln>
                    </wps:spPr>
                    <wps:style>
                      <a:lnRef idx="0"/>
                      <a:fillRef idx="0"/>
                      <a:effectRef idx="0"/>
                      <a:fontRef idx="minor"/>
                    </wps:style>
                    <wps:txbx>
                      <w:txbxContent>
                        <w:p>
                          <w:pPr>
                            <w:pStyle w:val="Contenutocornice"/>
                            <w:spacing w:lineRule="exact" w:line="240"/>
                            <w:ind w:left="0" w:hanging="0"/>
                            <w:rPr>
                              <w:color w:val="000000"/>
                            </w:rPr>
                          </w:pPr>
                          <w:r>
                            <w:rPr>
                              <w:color w:val="000000"/>
                            </w:rPr>
                          </w:r>
                        </w:p>
                      </w:txbxContent>
                    </wps:txbx>
                    <wps:bodyPr tIns="91440" bIns="91440" anchor="ctr">
                      <a:noAutofit/>
                    </wps:bodyPr>
                  </wps:wsp>
                </a:graphicData>
              </a:graphic>
            </wp:anchor>
          </w:drawing>
        </mc:Choice>
        <mc:Fallback>
          <w:pict>
            <v:rect id="shape_0" ID="Cornice1" path="m0,0l-2147483645,0l-2147483645,-2147483646l0,-2147483646xe" stroked="f" o:allowincell="f" style="position:absolute;margin-left:9.2pt;margin-top:0.05pt;width:15.5pt;height:15.5pt;mso-wrap-style:none;v-text-anchor:middle" wp14:anchorId="18B3C493">
              <v:fill o:detectmouseclick="t" on="false"/>
              <v:stroke color="#3465a4" joinstyle="round" endcap="flat"/>
              <v:textbox>
                <w:txbxContent>
                  <w:p>
                    <w:pPr>
                      <w:pStyle w:val="Contenutocornice"/>
                      <w:spacing w:lineRule="exact" w:line="240"/>
                      <w:ind w:left="0" w:hanging="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18" wp14:anchorId="7AE175A2">
              <wp:simplePos x="0" y="0"/>
              <wp:positionH relativeFrom="column">
                <wp:posOffset>3990975</wp:posOffset>
              </wp:positionH>
              <wp:positionV relativeFrom="paragraph">
                <wp:posOffset>-346710</wp:posOffset>
              </wp:positionV>
              <wp:extent cx="197485" cy="197485"/>
              <wp:effectExtent l="0" t="0" r="0" b="0"/>
              <wp:wrapNone/>
              <wp:docPr id="6" name="Cornice2"/>
              <a:graphic xmlns:a="http://schemas.openxmlformats.org/drawingml/2006/main">
                <a:graphicData uri="http://schemas.microsoft.com/office/word/2010/wordprocessingShape">
                  <wps:wsp>
                    <wps:cNvSpPr/>
                    <wps:spPr>
                      <a:xfrm>
                        <a:off x="0" y="0"/>
                        <a:ext cx="197640" cy="197640"/>
                      </a:xfrm>
                      <a:prstGeom prst="rect">
                        <a:avLst/>
                      </a:prstGeom>
                      <a:noFill/>
                      <a:ln w="0">
                        <a:noFill/>
                      </a:ln>
                    </wps:spPr>
                    <wps:style>
                      <a:lnRef idx="0"/>
                      <a:fillRef idx="0"/>
                      <a:effectRef idx="0"/>
                      <a:fontRef idx="minor"/>
                    </wps:style>
                    <wps:txbx>
                      <w:txbxContent>
                        <w:p>
                          <w:pPr>
                            <w:pStyle w:val="Contenutocornice"/>
                            <w:spacing w:lineRule="exact" w:line="240"/>
                            <w:ind w:left="0" w:hanging="0"/>
                            <w:rPr>
                              <w:color w:val="000000"/>
                            </w:rPr>
                          </w:pPr>
                          <w:r>
                            <w:rPr>
                              <w:color w:val="000000"/>
                            </w:rPr>
                          </w:r>
                        </w:p>
                      </w:txbxContent>
                    </wps:txbx>
                    <wps:bodyPr tIns="91440" bIns="91440" anchor="ctr">
                      <a:noAutofit/>
                    </wps:bodyPr>
                  </wps:wsp>
                </a:graphicData>
              </a:graphic>
            </wp:anchor>
          </w:drawing>
        </mc:Choice>
        <mc:Fallback>
          <w:pict>
            <v:rect id="shape_0" ID="Cornice2" path="m0,0l-2147483645,0l-2147483645,-2147483646l0,-2147483646xe" stroked="f" o:allowincell="f" style="position:absolute;margin-left:314.25pt;margin-top:-27.3pt;width:15.5pt;height:15.5pt;mso-wrap-style:none;v-text-anchor:middle" wp14:anchorId="7AE175A2">
              <v:fill o:detectmouseclick="t" on="false"/>
              <v:stroke color="#3465a4" joinstyle="round" endcap="flat"/>
              <v:textbox>
                <w:txbxContent>
                  <w:p>
                    <w:pPr>
                      <w:pStyle w:val="Contenutocornice"/>
                      <w:spacing w:lineRule="exact" w:line="240"/>
                      <w:ind w:left="0" w:hanging="0"/>
                      <w:rPr>
                        <w:color w:val="000000"/>
                      </w:rPr>
                    </w:pPr>
                    <w:r>
                      <w:rPr>
                        <w:color w:val="000000"/>
                      </w:rPr>
                    </w:r>
                  </w:p>
                </w:txbxContent>
              </v:textbox>
              <w10:wrap type="none"/>
            </v:rect>
          </w:pict>
        </mc:Fallback>
      </mc:AlternateContent>
    </w:r>
    <w:r/>
  </w:p>
  <w:p>
    <w:pPr>
      <w:pStyle w:val="Normal"/>
      <w:ind w:left="0" w:hanging="2"/>
      <w:rPr>
        <w:rFonts w:ascii="Arial" w:hAnsi="Arial" w:eastAsia="Arial" w:cs="Arial"/>
        <w:sz w:val="22"/>
        <w:szCs w:val="22"/>
      </w:rPr>
    </w:pPr>
    <w:r>
      <w:rPr>
        <w:rFonts w:eastAsia="Arial" w:cs="Arial" w:ascii="Arial" w:hAnsi="Arial"/>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upperLetter"/>
      <w:lvlText w:val="%2)"/>
      <w:lvlJc w:val="left"/>
      <w:pPr>
        <w:tabs>
          <w:tab w:val="num" w:pos="1080"/>
        </w:tabs>
        <w:ind w:left="1080" w:hanging="360"/>
      </w:pPr>
      <w:rPr/>
    </w:lvl>
    <w:lvl w:ilvl="2">
      <w:start w:val="1"/>
      <w:numFmt w:val="upperLetter"/>
      <w:lvlText w:val="%3)"/>
      <w:lvlJc w:val="left"/>
      <w:pPr>
        <w:tabs>
          <w:tab w:val="num" w:pos="1440"/>
        </w:tabs>
        <w:ind w:left="1440" w:hanging="360"/>
      </w:pPr>
      <w:rPr/>
    </w:lvl>
    <w:lvl w:ilvl="3">
      <w:start w:val="1"/>
      <w:numFmt w:val="upperLetter"/>
      <w:lvlText w:val="%4)"/>
      <w:lvlJc w:val="left"/>
      <w:pPr>
        <w:tabs>
          <w:tab w:val="num" w:pos="1800"/>
        </w:tabs>
        <w:ind w:left="1800" w:hanging="360"/>
      </w:pPr>
      <w:rPr/>
    </w:lvl>
    <w:lvl w:ilvl="4">
      <w:start w:val="1"/>
      <w:numFmt w:val="upperLetter"/>
      <w:lvlText w:val="%5)"/>
      <w:lvlJc w:val="left"/>
      <w:pPr>
        <w:tabs>
          <w:tab w:val="num" w:pos="2160"/>
        </w:tabs>
        <w:ind w:left="2160" w:hanging="360"/>
      </w:pPr>
      <w:rPr/>
    </w:lvl>
    <w:lvl w:ilvl="5">
      <w:start w:val="1"/>
      <w:numFmt w:val="upperLetter"/>
      <w:lvlText w:val="%6)"/>
      <w:lvlJc w:val="left"/>
      <w:pPr>
        <w:tabs>
          <w:tab w:val="num" w:pos="2520"/>
        </w:tabs>
        <w:ind w:left="2520" w:hanging="360"/>
      </w:pPr>
      <w:rPr/>
    </w:lvl>
    <w:lvl w:ilvl="6">
      <w:start w:val="1"/>
      <w:numFmt w:val="upperLetter"/>
      <w:lvlText w:val="%7)"/>
      <w:lvlJc w:val="left"/>
      <w:pPr>
        <w:tabs>
          <w:tab w:val="num" w:pos="2880"/>
        </w:tabs>
        <w:ind w:left="2880" w:hanging="360"/>
      </w:pPr>
      <w:rPr/>
    </w:lvl>
    <w:lvl w:ilvl="7">
      <w:start w:val="1"/>
      <w:numFmt w:val="upperLetter"/>
      <w:lvlText w:val="%8)"/>
      <w:lvlJc w:val="left"/>
      <w:pPr>
        <w:tabs>
          <w:tab w:val="num" w:pos="3240"/>
        </w:tabs>
        <w:ind w:left="3240" w:hanging="360"/>
      </w:pPr>
      <w:rPr/>
    </w:lvl>
    <w:lvl w:ilvl="8">
      <w:start w:val="1"/>
      <w:numFmt w:val="upperLetter"/>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283"/>
  <w:footnotePr>
    <w:numFmt w:val="decimal"/>
    <w:footnote w:id="0"/>
    <w:footnote w:id="1"/>
  </w:footnotePr>
  <w:compat>
    <w:compatSetting w:name="compatibilityMode" w:uri="http://schemas.microsoft.com/office/word" w:val="14"/>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tLeast" w:line="1" w:before="0" w:after="0"/>
      <w:ind w:left="-1" w:hanging="1"/>
      <w:jc w:val="left"/>
      <w:textAlignment w:val="top"/>
      <w:outlineLvl w:val="0"/>
    </w:pPr>
    <w:rPr>
      <w:rFonts w:ascii="Times New Roman" w:hAnsi="Times New Roman" w:eastAsia="Calibri" w:cs="Calibri"/>
      <w:color w:val="auto"/>
      <w:kern w:val="0"/>
      <w:sz w:val="20"/>
      <w:szCs w:val="20"/>
      <w:vertAlign w:val="subscript"/>
      <w:lang w:val="it-IT" w:eastAsia="it-IT" w:bidi="ar-SA"/>
    </w:rPr>
  </w:style>
  <w:style w:type="paragraph" w:styleId="Titolo1">
    <w:name w:val="Heading 1"/>
    <w:basedOn w:val="Normal"/>
    <w:next w:val="Normal"/>
    <w:qFormat/>
    <w:pPr>
      <w:keepNext w:val="true"/>
      <w:keepLines/>
      <w:spacing w:before="480" w:after="120"/>
    </w:pPr>
    <w:rPr>
      <w:b/>
      <w:bCs/>
      <w:sz w:val="48"/>
      <w:szCs w:val="48"/>
    </w:rPr>
  </w:style>
  <w:style w:type="paragraph" w:styleId="Titolo2">
    <w:name w:val="Heading 2"/>
    <w:basedOn w:val="Normal"/>
    <w:next w:val="Normal"/>
    <w:qFormat/>
    <w:pPr>
      <w:keepNext w:val="true"/>
      <w:keepLines/>
      <w:spacing w:before="360" w:after="80"/>
      <w:outlineLvl w:val="1"/>
    </w:pPr>
    <w:rPr>
      <w:b/>
      <w:bCs/>
      <w:sz w:val="36"/>
      <w:szCs w:val="36"/>
    </w:rPr>
  </w:style>
  <w:style w:type="paragraph" w:styleId="Titolo3">
    <w:name w:val="Heading 3"/>
    <w:basedOn w:val="Normal"/>
    <w:next w:val="Normal"/>
    <w:qFormat/>
    <w:pPr>
      <w:keepNext w:val="true"/>
      <w:keepLines/>
      <w:spacing w:before="280" w:after="80"/>
      <w:outlineLvl w:val="2"/>
    </w:pPr>
    <w:rPr>
      <w:b/>
      <w:bCs/>
      <w:sz w:val="28"/>
      <w:szCs w:val="28"/>
    </w:rPr>
  </w:style>
  <w:style w:type="paragraph" w:styleId="Titolo4">
    <w:name w:val="Heading 4"/>
    <w:basedOn w:val="Normal"/>
    <w:next w:val="Normal"/>
    <w:qFormat/>
    <w:pPr>
      <w:keepNext w:val="true"/>
      <w:keepLines/>
      <w:spacing w:before="240" w:after="40"/>
      <w:outlineLvl w:val="3"/>
    </w:pPr>
    <w:rPr>
      <w:b/>
      <w:bCs/>
      <w:sz w:val="24"/>
      <w:szCs w:val="24"/>
    </w:rPr>
  </w:style>
  <w:style w:type="paragraph" w:styleId="Titolo5">
    <w:name w:val="Heading 5"/>
    <w:basedOn w:val="Normal"/>
    <w:next w:val="Normal"/>
    <w:qFormat/>
    <w:pPr>
      <w:keepNext w:val="true"/>
      <w:keepLines/>
      <w:spacing w:before="220" w:after="40"/>
      <w:outlineLvl w:val="4"/>
    </w:pPr>
    <w:rPr>
      <w:b/>
      <w:bCs/>
      <w:sz w:val="22"/>
      <w:szCs w:val="22"/>
    </w:rPr>
  </w:style>
  <w:style w:type="paragraph" w:styleId="Titolo6">
    <w:name w:val="Heading 6"/>
    <w:basedOn w:val="Normal"/>
    <w:next w:val="Normal"/>
    <w:qFormat/>
    <w:pPr>
      <w:keepNext w:val="true"/>
      <w:keepLines/>
      <w:spacing w:before="200" w:after="40"/>
      <w:outlineLvl w:val="5"/>
    </w:pPr>
    <w:rPr>
      <w:b/>
      <w:bCs/>
    </w:rPr>
  </w:style>
  <w:style w:type="character" w:styleId="DefaultParagraphFont" w:default="1">
    <w:name w:val="Default Paragraph Font"/>
    <w:uiPriority w:val="1"/>
    <w:semiHidden/>
    <w:unhideWhenUsed/>
    <w:qFormat/>
    <w:rPr/>
  </w:style>
  <w:style w:type="character" w:styleId="Titolo1Carattere" w:customStyle="1">
    <w:name w:val="Titolo 1 Carattere"/>
    <w:qFormat/>
    <w:rPr>
      <w:rFonts w:ascii="Cambria" w:hAnsi="Cambria" w:eastAsia="Times New Roman" w:cs="Times New Roman"/>
      <w:b/>
      <w:bCs/>
      <w:w w:val="100"/>
      <w:kern w:val="2"/>
      <w:position w:val="0"/>
      <w:sz w:val="32"/>
      <w:sz w:val="32"/>
      <w:szCs w:val="32"/>
      <w:effect w:val="none"/>
      <w:vertAlign w:val="baseline"/>
      <w:em w:val="none"/>
    </w:rPr>
  </w:style>
  <w:style w:type="character" w:styleId="Titolo2Carattere" w:customStyle="1">
    <w:name w:val="Titolo 2 Carattere"/>
    <w:qFormat/>
    <w:rPr>
      <w:rFonts w:ascii="Cambria" w:hAnsi="Cambria" w:eastAsia="Times New Roman" w:cs="Times New Roman"/>
      <w:b/>
      <w:bCs/>
      <w:i/>
      <w:iCs/>
      <w:w w:val="100"/>
      <w:position w:val="0"/>
      <w:sz w:val="28"/>
      <w:sz w:val="28"/>
      <w:szCs w:val="28"/>
      <w:effect w:val="none"/>
      <w:vertAlign w:val="baseline"/>
      <w:em w:val="none"/>
    </w:rPr>
  </w:style>
  <w:style w:type="character" w:styleId="Titolo3Carattere" w:customStyle="1">
    <w:name w:val="Titolo 3 Carattere"/>
    <w:qFormat/>
    <w:rPr>
      <w:rFonts w:ascii="Cambria" w:hAnsi="Cambria" w:eastAsia="Times New Roman" w:cs="Times New Roman"/>
      <w:b/>
      <w:bCs/>
      <w:w w:val="100"/>
      <w:position w:val="0"/>
      <w:sz w:val="26"/>
      <w:sz w:val="26"/>
      <w:szCs w:val="26"/>
      <w:effect w:val="none"/>
      <w:vertAlign w:val="baseline"/>
      <w:em w:val="none"/>
    </w:rPr>
  </w:style>
  <w:style w:type="character" w:styleId="Titolo4Carattere" w:customStyle="1">
    <w:name w:val="Titolo 4 Carattere"/>
    <w:qFormat/>
    <w:rPr>
      <w:b/>
      <w:bCs/>
      <w:w w:val="100"/>
      <w:position w:val="0"/>
      <w:sz w:val="28"/>
      <w:sz w:val="28"/>
      <w:szCs w:val="28"/>
      <w:effect w:val="none"/>
      <w:vertAlign w:val="baseline"/>
      <w:em w:val="none"/>
    </w:rPr>
  </w:style>
  <w:style w:type="character" w:styleId="Titolo5Carattere" w:customStyle="1">
    <w:name w:val="Titolo 5 Carattere"/>
    <w:qFormat/>
    <w:rPr>
      <w:b/>
      <w:bCs/>
      <w:i/>
      <w:iCs/>
      <w:w w:val="100"/>
      <w:position w:val="0"/>
      <w:sz w:val="26"/>
      <w:sz w:val="26"/>
      <w:szCs w:val="26"/>
      <w:effect w:val="none"/>
      <w:vertAlign w:val="baseline"/>
      <w:em w:val="none"/>
    </w:rPr>
  </w:style>
  <w:style w:type="character" w:styleId="Titolo6Carattere" w:customStyle="1">
    <w:name w:val="Titolo 6 Carattere"/>
    <w:qFormat/>
    <w:rPr>
      <w:b/>
      <w:bCs/>
      <w:w w:val="100"/>
      <w:position w:val="0"/>
      <w:sz w:val="20"/>
      <w:sz w:val="20"/>
      <w:effect w:val="none"/>
      <w:vertAlign w:val="baseline"/>
      <w:em w:val="none"/>
    </w:rPr>
  </w:style>
  <w:style w:type="character" w:styleId="TitoloCarattere" w:customStyle="1">
    <w:name w:val="Titolo Carattere"/>
    <w:qFormat/>
    <w:rPr>
      <w:rFonts w:ascii="Cambria" w:hAnsi="Cambria" w:eastAsia="Times New Roman" w:cs="Times New Roman"/>
      <w:b/>
      <w:bCs/>
      <w:w w:val="100"/>
      <w:kern w:val="2"/>
      <w:position w:val="0"/>
      <w:sz w:val="32"/>
      <w:sz w:val="32"/>
      <w:szCs w:val="32"/>
      <w:effect w:val="none"/>
      <w:vertAlign w:val="baseline"/>
      <w:em w:val="none"/>
    </w:rPr>
  </w:style>
  <w:style w:type="character" w:styleId="SottotitoloCarattere" w:customStyle="1">
    <w:name w:val="Sottotitolo Carattere"/>
    <w:qFormat/>
    <w:rPr>
      <w:rFonts w:ascii="Cambria" w:hAnsi="Cambria" w:eastAsia="Times New Roman" w:cs="Times New Roman"/>
      <w:w w:val="100"/>
      <w:position w:val="0"/>
      <w:sz w:val="24"/>
      <w:sz w:val="24"/>
      <w:szCs w:val="24"/>
      <w:effect w:val="none"/>
      <w:vertAlign w:val="baseline"/>
      <w:em w:val="none"/>
    </w:rPr>
  </w:style>
  <w:style w:type="character" w:styleId="TestofumettoCarattere" w:customStyle="1">
    <w:name w:val="Testo fumetto Carattere"/>
    <w:qFormat/>
    <w:rPr>
      <w:rFonts w:ascii="Tahoma" w:hAnsi="Tahoma" w:cs="Tahoma"/>
      <w:w w:val="100"/>
      <w:position w:val="0"/>
      <w:sz w:val="16"/>
      <w:sz w:val="16"/>
      <w:szCs w:val="16"/>
      <w:effect w:val="none"/>
      <w:vertAlign w:val="baseline"/>
      <w:em w:val="none"/>
    </w:rPr>
  </w:style>
  <w:style w:type="character" w:styleId="CollegamentoInternet">
    <w:name w:val="Hyperlink"/>
    <w:rPr>
      <w:color w:val="0000FF"/>
      <w:w w:val="100"/>
      <w:position w:val="0"/>
      <w:sz w:val="20"/>
      <w:sz w:val="20"/>
      <w:u w:val="single"/>
      <w:effect w:val="none"/>
      <w:vertAlign w:val="baseline"/>
      <w:em w:val="none"/>
    </w:rPr>
  </w:style>
  <w:style w:type="character" w:styleId="IntestazioneCarattere" w:customStyle="1">
    <w:name w:val="Intestazione Carattere"/>
    <w:basedOn w:val="DefaultParagraphFont"/>
    <w:uiPriority w:val="99"/>
    <w:qFormat/>
    <w:rsid w:val="0050454f"/>
    <w:rPr>
      <w:rFonts w:ascii="Times New Roman" w:hAnsi="Times New Roman"/>
      <w:vertAlign w:val="subscript"/>
    </w:rPr>
  </w:style>
  <w:style w:type="character" w:styleId="PidipaginaCarattere" w:customStyle="1">
    <w:name w:val="Piè di pagina Carattere"/>
    <w:basedOn w:val="DefaultParagraphFont"/>
    <w:uiPriority w:val="99"/>
    <w:qFormat/>
    <w:rsid w:val="0050454f"/>
    <w:rPr>
      <w:rFonts w:ascii="Times New Roman" w:hAnsi="Times New Roman"/>
      <w:vertAlign w:val="subscript"/>
    </w:rPr>
  </w:style>
  <w:style w:type="character" w:styleId="TestocommentoCarattere" w:customStyle="1">
    <w:name w:val="Testo commento Carattere"/>
    <w:basedOn w:val="DefaultParagraphFont"/>
    <w:link w:val="Annotationtext"/>
    <w:uiPriority w:val="99"/>
    <w:semiHidden/>
    <w:qFormat/>
    <w:rPr>
      <w:rFonts w:ascii="Times New Roman" w:hAnsi="Times New Roman"/>
      <w:vertAlign w:val="subscript"/>
    </w:rPr>
  </w:style>
  <w:style w:type="character" w:styleId="Annotationreference">
    <w:name w:val="annotation reference"/>
    <w:basedOn w:val="DefaultParagraphFont"/>
    <w:uiPriority w:val="99"/>
    <w:semiHidden/>
    <w:unhideWhenUsed/>
    <w:qFormat/>
    <w:rPr>
      <w:sz w:val="16"/>
      <w:szCs w:val="16"/>
    </w:rPr>
  </w:style>
  <w:style w:type="character" w:styleId="Caratteridinumerazione" w:customStyle="1">
    <w:name w:val="Caratteri di numerazione"/>
    <w:qFormat/>
    <w:rPr/>
  </w:style>
  <w:style w:type="character" w:styleId="Caratterinotaapidipagina">
    <w:name w:val="Caratteri nota a piè di pagina"/>
    <w:qFormat/>
    <w:rPr>
      <w:vertAlign w:val="superscript"/>
    </w:rPr>
  </w:style>
  <w:style w:type="character" w:styleId="Richiamoallanotaapidipagina">
    <w:name w:val="Footnote Reference"/>
    <w:rPr>
      <w:vertAlign w:val="superscript"/>
    </w:rPr>
  </w:style>
  <w:style w:type="character" w:styleId="Caratterinotadichiusura">
    <w:name w:val="Caratteri nota di chiusura"/>
    <w:qFormat/>
    <w:rPr>
      <w:vertAlign w:val="superscript"/>
    </w:rPr>
  </w:style>
  <w:style w:type="character" w:styleId="Richiamoallanotadichiusura">
    <w:name w:val="Endnote Reference"/>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keepLines/>
      <w:spacing w:before="480" w:after="120"/>
    </w:pPr>
    <w:rPr>
      <w:b/>
      <w:bCs/>
      <w:sz w:val="72"/>
      <w:szCs w:val="72"/>
    </w:rPr>
  </w:style>
  <w:style w:type="paragraph" w:styleId="Caption">
    <w:name w:val="caption"/>
    <w:basedOn w:val="Normal"/>
    <w:qFormat/>
    <w:pPr>
      <w:suppressLineNumbers/>
      <w:spacing w:before="120" w:after="120"/>
    </w:pPr>
    <w:rPr>
      <w:rFonts w:cs="Arial"/>
      <w:i/>
      <w:iCs/>
      <w:sz w:val="24"/>
      <w:szCs w:val="24"/>
    </w:rPr>
  </w:style>
  <w:style w:type="paragraph" w:styleId="Sottotito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left="720" w:hanging="1"/>
    </w:pPr>
    <w:rPr>
      <w:rFonts w:cs="Times New Roman"/>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50454f"/>
    <w:pPr>
      <w:tabs>
        <w:tab w:val="clear" w:pos="720"/>
        <w:tab w:val="center" w:pos="4819" w:leader="none"/>
        <w:tab w:val="right" w:pos="9638" w:leader="none"/>
      </w:tabs>
      <w:spacing w:lineRule="auto" w:line="240"/>
    </w:pPr>
    <w:rPr/>
  </w:style>
  <w:style w:type="paragraph" w:styleId="Pidipagina">
    <w:name w:val="Footer"/>
    <w:basedOn w:val="Normal"/>
    <w:link w:val="PidipaginaCarattere"/>
    <w:uiPriority w:val="99"/>
    <w:unhideWhenUsed/>
    <w:rsid w:val="0050454f"/>
    <w:pPr>
      <w:tabs>
        <w:tab w:val="clear" w:pos="720"/>
        <w:tab w:val="center" w:pos="4819" w:leader="none"/>
        <w:tab w:val="right" w:pos="9638" w:leader="none"/>
      </w:tabs>
      <w:spacing w:lineRule="auto" w:line="240"/>
    </w:pPr>
    <w:rPr/>
  </w:style>
  <w:style w:type="paragraph" w:styleId="Annotationtext">
    <w:name w:val="annotation text"/>
    <w:basedOn w:val="Normal"/>
    <w:link w:val="TestocommentoCarattere"/>
    <w:uiPriority w:val="99"/>
    <w:semiHidden/>
    <w:unhideWhenUsed/>
    <w:qFormat/>
    <w:pPr>
      <w:spacing w:lineRule="auto" w:line="240"/>
    </w:pPr>
    <w:rPr/>
  </w:style>
  <w:style w:type="paragraph" w:styleId="Contenutocornice" w:customStyle="1">
    <w:name w:val="Contenuto cornice"/>
    <w:basedOn w:val="Normal"/>
    <w:qFormat/>
    <w:pPr/>
    <w:rPr/>
  </w:style>
  <w:style w:type="paragraph" w:styleId="Normal1" w:customStyle="1">
    <w:name w:val="normal1"/>
    <w:qFormat/>
    <w:pPr>
      <w:widowControl w:val="false"/>
      <w:suppressAutoHyphens w:val="true"/>
      <w:bidi w:val="0"/>
      <w:spacing w:before="0" w:after="0"/>
      <w:jc w:val="left"/>
    </w:pPr>
    <w:rPr>
      <w:rFonts w:ascii="Times New Roman" w:hAnsi="Times New Roman" w:eastAsia="Calibri" w:cs="Calibri"/>
      <w:color w:val="auto"/>
      <w:kern w:val="0"/>
      <w:sz w:val="24"/>
      <w:szCs w:val="24"/>
      <w:lang w:val="it-IT" w:eastAsia="it-IT" w:bidi="ar-SA"/>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3Y41eNP8Lwz7FqfAnzOWxiwPS8A==">CgMxLjAaHwoBMBIaChgICVIUChJ0YWJsZS5yY2h6MTF4ajRiMHYyDmgucWs4bXlqdnYyanEzMg5oLm9teThmZ2plM3Z2MTIOaC52Y2hwNm01eG03cDUyCGguZ2pkZ3hzMg5oLnY5dnVkcW9vbmFiaTIJaC4zMGowemxsOAByITFBalk2dmNBSF9zOW1ZM2NrU1FBc2N3WWk5YzVkZ3BRWA==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Application>LibreOffice/7.5.8.2$Windows_X86_64 LibreOffice_project/f718d63693263970429a68f568db6046aaa9df01</Application>
  <AppVersion>15.0000</AppVersion>
  <Pages>4</Pages>
  <Words>1567</Words>
  <Characters>9649</Characters>
  <CharactersWithSpaces>11157</CharactersWithSpaces>
  <Paragraphs>56</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2025-10-21T12:08:00Z</dcterms:created>
  <dc:creator>u269766</dc:creator>
  <dc:description/>
  <dc:language>it-IT</dc:language>
  <cp:lastModifiedBy/>
  <cp:lastPrinted>2025-10-15T10:52:00Z</cp:lastPrinted>
  <dcterms:modified xsi:type="dcterms:W3CDTF">2025-10-27T13:08:35Z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